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1D" w:rsidRDefault="00A2251D" w:rsidP="009E3EE2">
      <w:pPr>
        <w:spacing w:before="0" w:after="160" w:line="259" w:lineRule="auto"/>
        <w:ind w:left="1985" w:firstLine="0"/>
        <w:jc w:val="center"/>
        <w:rPr>
          <w:i/>
        </w:rPr>
      </w:pPr>
    </w:p>
    <w:p w:rsidR="009B6243" w:rsidRPr="009E3EE2" w:rsidRDefault="009B6243" w:rsidP="009E3EE2">
      <w:pPr>
        <w:spacing w:before="0" w:after="160" w:line="259" w:lineRule="auto"/>
        <w:ind w:left="3545" w:firstLine="709"/>
        <w:rPr>
          <w:b/>
          <w:sz w:val="36"/>
          <w:szCs w:val="36"/>
        </w:rPr>
      </w:pPr>
      <w:bookmarkStart w:id="0" w:name="_GoBack"/>
      <w:bookmarkEnd w:id="0"/>
      <w:r w:rsidRPr="009E3EE2">
        <w:rPr>
          <w:b/>
          <w:sz w:val="36"/>
          <w:szCs w:val="36"/>
        </w:rPr>
        <w:t>Д</w:t>
      </w:r>
      <w:r w:rsidR="003009DC" w:rsidRPr="009E3EE2">
        <w:rPr>
          <w:b/>
          <w:sz w:val="36"/>
          <w:szCs w:val="36"/>
        </w:rPr>
        <w:t xml:space="preserve"> </w:t>
      </w:r>
      <w:r w:rsidRPr="009E3EE2">
        <w:rPr>
          <w:b/>
          <w:sz w:val="36"/>
          <w:szCs w:val="36"/>
        </w:rPr>
        <w:t>О</w:t>
      </w:r>
      <w:r w:rsidR="003009DC" w:rsidRPr="009E3EE2">
        <w:rPr>
          <w:b/>
          <w:sz w:val="36"/>
          <w:szCs w:val="36"/>
        </w:rPr>
        <w:t xml:space="preserve"> </w:t>
      </w:r>
      <w:r w:rsidRPr="009E3EE2">
        <w:rPr>
          <w:b/>
          <w:sz w:val="36"/>
          <w:szCs w:val="36"/>
        </w:rPr>
        <w:t>К</w:t>
      </w:r>
      <w:r w:rsidR="003009DC" w:rsidRPr="009E3EE2">
        <w:rPr>
          <w:b/>
          <w:sz w:val="36"/>
          <w:szCs w:val="36"/>
        </w:rPr>
        <w:t xml:space="preserve"> </w:t>
      </w:r>
      <w:r w:rsidRPr="009E3EE2">
        <w:rPr>
          <w:b/>
          <w:sz w:val="36"/>
          <w:szCs w:val="36"/>
        </w:rPr>
        <w:t>Л</w:t>
      </w:r>
      <w:r w:rsidR="003009DC" w:rsidRPr="009E3EE2">
        <w:rPr>
          <w:b/>
          <w:sz w:val="36"/>
          <w:szCs w:val="36"/>
        </w:rPr>
        <w:t xml:space="preserve"> </w:t>
      </w:r>
      <w:r w:rsidRPr="009E3EE2">
        <w:rPr>
          <w:b/>
          <w:sz w:val="36"/>
          <w:szCs w:val="36"/>
        </w:rPr>
        <w:t>А</w:t>
      </w:r>
      <w:r w:rsidR="003009DC" w:rsidRPr="009E3EE2">
        <w:rPr>
          <w:b/>
          <w:sz w:val="36"/>
          <w:szCs w:val="36"/>
        </w:rPr>
        <w:t xml:space="preserve"> </w:t>
      </w:r>
      <w:r w:rsidRPr="009E3EE2">
        <w:rPr>
          <w:b/>
          <w:sz w:val="36"/>
          <w:szCs w:val="36"/>
        </w:rPr>
        <w:t>Д</w:t>
      </w:r>
    </w:p>
    <w:p w:rsidR="002A75C3" w:rsidRDefault="002A75C3" w:rsidP="009A7348">
      <w:pPr>
        <w:ind w:firstLine="0"/>
        <w:rPr>
          <w:i/>
        </w:rPr>
      </w:pPr>
    </w:p>
    <w:p w:rsidR="002A75C3" w:rsidRPr="00A15ACD" w:rsidRDefault="002A75C3" w:rsidP="002A75C3">
      <w:pPr>
        <w:ind w:left="1701" w:hanging="1134"/>
        <w:jc w:val="both"/>
        <w:rPr>
          <w:sz w:val="28"/>
          <w:szCs w:val="28"/>
        </w:rPr>
      </w:pPr>
      <w:r w:rsidRPr="003109FF">
        <w:rPr>
          <w:b/>
        </w:rPr>
        <w:t>Относно</w:t>
      </w:r>
      <w:r w:rsidRPr="003109FF">
        <w:rPr>
          <w:b/>
          <w:lang w:val="ru-RU"/>
        </w:rPr>
        <w:t>:</w:t>
      </w:r>
      <w:r w:rsidR="005E7878">
        <w:rPr>
          <w:lang w:val="ru-RU"/>
        </w:rPr>
        <w:tab/>
      </w:r>
      <w:r w:rsidR="006A7F17">
        <w:t>Изпълнение</w:t>
      </w:r>
      <w:r>
        <w:t xml:space="preserve"> на Стратеги</w:t>
      </w:r>
      <w:r w:rsidR="005E7878">
        <w:t>ята за децентрализация 2016-2025</w:t>
      </w:r>
      <w:r>
        <w:t xml:space="preserve"> г. и развитие на процеса на децентрализация</w:t>
      </w:r>
      <w:r w:rsidR="006A7F17">
        <w:t xml:space="preserve"> през периода 2016-2019 г.</w:t>
      </w:r>
      <w:r>
        <w:t xml:space="preserve"> </w:t>
      </w:r>
    </w:p>
    <w:p w:rsidR="002A75C3" w:rsidRDefault="002A75C3" w:rsidP="009A7348">
      <w:pPr>
        <w:ind w:firstLine="0"/>
        <w:rPr>
          <w:i/>
        </w:rPr>
      </w:pPr>
    </w:p>
    <w:p w:rsidR="00D1033C" w:rsidRPr="00D1033C" w:rsidRDefault="00D1033C" w:rsidP="00A0068A">
      <w:pPr>
        <w:spacing w:before="0" w:after="0"/>
        <w:ind w:firstLine="709"/>
        <w:jc w:val="both"/>
        <w:rPr>
          <w:sz w:val="28"/>
          <w:szCs w:val="28"/>
        </w:rPr>
      </w:pPr>
      <w:r w:rsidRPr="00D1033C">
        <w:t>Децентрализацията обхваща всички мерки на политическо равнище, които са насочени към укрепване ролята на местните и регионалните власти в процеса на вземане на решения и водят до прехвърляне на правомощия от страна на централното държавно управление към местните и регионалните институции.</w:t>
      </w:r>
    </w:p>
    <w:p w:rsidR="00D1033C" w:rsidRPr="00D1033C" w:rsidRDefault="00D1033C" w:rsidP="00A0068A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D1033C">
        <w:rPr>
          <w:rFonts w:eastAsia="Calibri"/>
          <w:lang w:eastAsia="en-US"/>
        </w:rPr>
        <w:t xml:space="preserve">С Решение на Министерския съвет № 735  от 8 септември 2016 г. беше приета Стратегия за децентрализация 2016-2025 г. и Програма за изпълнение на Стратегията за децентрализация за периода 2016-2019 г. </w:t>
      </w:r>
    </w:p>
    <w:p w:rsidR="00D1033C" w:rsidRPr="00D1033C" w:rsidRDefault="00D1033C" w:rsidP="00D1033C">
      <w:pPr>
        <w:spacing w:before="0" w:after="0"/>
        <w:ind w:firstLine="709"/>
        <w:jc w:val="both"/>
        <w:rPr>
          <w:lang w:bidi="bg-BG"/>
        </w:rPr>
      </w:pPr>
      <w:r w:rsidRPr="00D1033C">
        <w:rPr>
          <w:lang w:bidi="bg-BG"/>
        </w:rPr>
        <w:t>Стратегията за децентрализация 2016-2025 г. основно цели да мобилизира и стимулира действия от страна на заинтересованите страни на национално, регионално и местно ниво, така че гражданите да могат да се възползват от доброто управление посредством постоянно подобряване на качеството на публичните услуги, ангажиране на населението в обществения живот и провеждането на политики</w:t>
      </w:r>
      <w:r w:rsidRPr="00D1033C">
        <w:rPr>
          <w:color w:val="000000"/>
          <w:sz w:val="21"/>
          <w:szCs w:val="21"/>
          <w:lang w:bidi="bg-BG"/>
        </w:rPr>
        <w:t xml:space="preserve"> </w:t>
      </w:r>
      <w:r w:rsidRPr="00D1033C">
        <w:rPr>
          <w:lang w:bidi="bg-BG"/>
        </w:rPr>
        <w:t>съответстващи на законно обоснованите очаквания на хората.</w:t>
      </w:r>
      <w:r w:rsidRPr="00D1033C">
        <w:t xml:space="preserve"> </w:t>
      </w:r>
      <w:r w:rsidRPr="00D1033C">
        <w:rPr>
          <w:lang w:bidi="bg-BG"/>
        </w:rPr>
        <w:t xml:space="preserve">Програмата за изпълнение на Стратегията за децентрализация обхваща инструментариум за постигане на заложените в нея стратегически цели, приоритети и мерки и е разработена за периода 2016-2019 г. Министерството на регионалното развитие и благоустройството (МРРБ) като една от водещите отговорни институции за провеждането на държавната политика в областта на децентрализацията на държавното управление извършва наблюдение на постигнатия напредък за изпълнение на целите на политиката за децентрализация, в т.ч. изпълнението на целите, приоритетите и мерките от Стратегията за децентрализация. </w:t>
      </w:r>
    </w:p>
    <w:p w:rsidR="00D1033C" w:rsidRPr="00D1033C" w:rsidRDefault="00D1033C" w:rsidP="00D1033C">
      <w:pPr>
        <w:spacing w:before="0" w:after="0"/>
        <w:ind w:firstLine="709"/>
        <w:jc w:val="both"/>
      </w:pPr>
      <w:r w:rsidRPr="00D1033C">
        <w:t>В изпълнение на целите на Стратегията с Постановление №</w:t>
      </w:r>
      <w:r w:rsidR="005E7878" w:rsidRPr="005E7878">
        <w:t xml:space="preserve"> </w:t>
      </w:r>
      <w:r w:rsidRPr="00D1033C">
        <w:t>157 на Министерския съвет от 01.08.2013 г. е създаден Съвет по децентрализация на държавното управление</w:t>
      </w:r>
      <w:r w:rsidRPr="00D1033C">
        <w:rPr>
          <w:lang w:val="ru-RU"/>
        </w:rPr>
        <w:t xml:space="preserve"> (</w:t>
      </w:r>
      <w:r w:rsidRPr="00D1033C">
        <w:t>СДДУ</w:t>
      </w:r>
      <w:r w:rsidRPr="00D1033C">
        <w:rPr>
          <w:lang w:val="ru-RU"/>
        </w:rPr>
        <w:t xml:space="preserve">). </w:t>
      </w:r>
      <w:r w:rsidRPr="00D1033C">
        <w:rPr>
          <w:bCs/>
        </w:rPr>
        <w:t xml:space="preserve">Съгласно чл. 1, ал. 1, т. 4 от това Постановление </w:t>
      </w:r>
      <w:r w:rsidRPr="00D1033C">
        <w:t xml:space="preserve">СДДУ като постоянно действащ консултативен орган на Министерския съвет при провеждането на държавната политика в областта на децентрализацията на държавното управление, извършва ежегодно </w:t>
      </w:r>
      <w:r w:rsidRPr="00D1033C">
        <w:lastRenderedPageBreak/>
        <w:t>наблюдение на постигнатия напредък за изпълнение на целите на политиката за децентрализация. Тъй като срокът на действие на първата Програма за изпълнение на Стратегията за децентрализация за периода 2016 – 2019 г. вече е изтекъл, е необходимо да се извърши актуализация на Стратегията.</w:t>
      </w:r>
      <w:r w:rsidRPr="005E7878">
        <w:t xml:space="preserve"> </w:t>
      </w:r>
    </w:p>
    <w:p w:rsidR="00D1033C" w:rsidRPr="00D1033C" w:rsidRDefault="00D1033C" w:rsidP="00D1033C">
      <w:pPr>
        <w:ind w:firstLine="708"/>
        <w:jc w:val="both"/>
        <w:rPr>
          <w:lang w:bidi="bg-BG"/>
        </w:rPr>
      </w:pPr>
      <w:r w:rsidRPr="00D1033C">
        <w:t>На базата на аналитичен преглед на постигнатите досега резултати общата оценка показва, че е необходим по-значим напредък на процеса на децентрализация, като се търси широка политическа подкрепа в дългосрочен план, за да се гарантира устойчивост на реформите и надграждане на резултатите</w:t>
      </w:r>
      <w:r w:rsidRPr="00EC6489">
        <w:t xml:space="preserve">. Въпросът за децентрализацията на практика не заема достатъчно важно място в политическия дневен ред. Основната причина за това е, че процесът на децентрализация, който предполага прехвърляне на ресурси и на компетенции по вземането на решения относно използването на тези ресурси към по-ниските нива в системата за управление, </w:t>
      </w:r>
      <w:r w:rsidR="00EC6489" w:rsidRPr="00EC6489">
        <w:t xml:space="preserve">се предполага, че може </w:t>
      </w:r>
      <w:r w:rsidRPr="00EC6489">
        <w:t>да има отрицателен ефект върху управлението и контрола на макроикономическата ситуация в страната.</w:t>
      </w:r>
      <w:r w:rsidRPr="00D1033C">
        <w:t xml:space="preserve"> Становището на МРРБ по този въпрос е ясно и</w:t>
      </w:r>
      <w:r w:rsidRPr="00D1033C">
        <w:rPr>
          <w:color w:val="000000"/>
          <w:sz w:val="21"/>
          <w:szCs w:val="21"/>
          <w:lang w:bidi="bg-BG"/>
        </w:rPr>
        <w:t xml:space="preserve"> </w:t>
      </w:r>
      <w:r w:rsidRPr="00D1033C">
        <w:rPr>
          <w:lang w:bidi="bg-BG"/>
        </w:rPr>
        <w:t>насочва вниманието към едно оптимално разпределение на правомощия и ресурси между централната н местните власти, което е предпоставка за осигуряване на стабилно и ефективно управление в страната. Наличие на подходяща среда за ефективно н ефикасно функциониране на публичните институции на различните териториални нива има, но е необходимо обхватът на отговорностите им за осъществяване на обществени функции да е съобразен с принципа на субсидиарност и институциите да имат адекватни права и ресурси, за да могат да вземат решения и да финансират предоставянето на повече и по-качествени публични услуги на потребителите.</w:t>
      </w:r>
    </w:p>
    <w:p w:rsidR="00D1033C" w:rsidRPr="003E335F" w:rsidRDefault="00D1033C" w:rsidP="003E335F">
      <w:pPr>
        <w:spacing w:before="0" w:after="160"/>
        <w:ind w:firstLine="708"/>
        <w:jc w:val="both"/>
        <w:rPr>
          <w:rFonts w:eastAsia="Calibri"/>
          <w:lang w:eastAsia="en-US" w:bidi="bg-BG"/>
        </w:rPr>
      </w:pPr>
      <w:r w:rsidRPr="00D1033C">
        <w:rPr>
          <w:rFonts w:eastAsia="Calibri"/>
          <w:lang w:eastAsia="en-US" w:bidi="bg-BG"/>
        </w:rPr>
        <w:t xml:space="preserve">За установяване на актуалните проблеми и предизвикателства пред процеса на децентрализация в България, както и за подобряване на управлението на процеса на национално, регионално и местно ниво в краткосрочен и средносрочен план от страна на </w:t>
      </w:r>
      <w:r w:rsidR="003E335F">
        <w:rPr>
          <w:rFonts w:eastAsia="Calibri"/>
          <w:lang w:eastAsia="en-US" w:bidi="bg-BG"/>
        </w:rPr>
        <w:t xml:space="preserve">МРРБ е поискана информация от </w:t>
      </w:r>
      <w:r w:rsidRPr="00D1033C">
        <w:rPr>
          <w:rFonts w:eastAsia="Calibri"/>
          <w:lang w:eastAsia="en-US" w:bidi="bg-BG"/>
        </w:rPr>
        <w:t>отговорните институции, участващи активно в прилагането на</w:t>
      </w:r>
      <w:r w:rsidR="003E335F">
        <w:rPr>
          <w:rFonts w:eastAsia="Calibri"/>
          <w:lang w:eastAsia="en-US" w:bidi="bg-BG"/>
        </w:rPr>
        <w:t xml:space="preserve"> Стратегията за децентрализация. В</w:t>
      </w:r>
      <w:r w:rsidRPr="00D1033C">
        <w:rPr>
          <w:rFonts w:eastAsia="Calibri"/>
          <w:lang w:eastAsia="en-US" w:bidi="bg-BG"/>
        </w:rPr>
        <w:t xml:space="preserve"> предоставени</w:t>
      </w:r>
      <w:r w:rsidR="003E335F">
        <w:rPr>
          <w:rFonts w:eastAsia="Calibri"/>
          <w:lang w:eastAsia="en-US" w:bidi="bg-BG"/>
        </w:rPr>
        <w:t>те отчети, оценки и предложения</w:t>
      </w:r>
      <w:r w:rsidRPr="00D1033C">
        <w:rPr>
          <w:rFonts w:eastAsia="Calibri"/>
          <w:lang w:eastAsia="en-US" w:bidi="bg-BG"/>
        </w:rPr>
        <w:t xml:space="preserve"> </w:t>
      </w:r>
      <w:r w:rsidR="003E335F">
        <w:rPr>
          <w:rFonts w:eastAsia="Calibri"/>
          <w:lang w:eastAsia="en-US" w:bidi="bg-BG"/>
        </w:rPr>
        <w:t>с</w:t>
      </w:r>
      <w:r w:rsidRPr="00D1033C">
        <w:rPr>
          <w:rFonts w:eastAsia="Calibri"/>
          <w:lang w:eastAsia="en-US" w:bidi="bg-BG"/>
        </w:rPr>
        <w:t>е съдържа информация за напредъка по реализацията на конкретните мерки от Програмата за изпълнение на Стратегията за децентрализация за периода 2016-2019 г.</w:t>
      </w:r>
      <w:r w:rsidR="003E335F">
        <w:rPr>
          <w:rFonts w:eastAsia="Calibri"/>
          <w:lang w:eastAsia="en-US" w:bidi="bg-BG"/>
        </w:rPr>
        <w:t xml:space="preserve">, </w:t>
      </w:r>
      <w:r w:rsidR="003E335F">
        <w:rPr>
          <w:rFonts w:eastAsia="Calibri"/>
          <w:lang w:eastAsia="en-US"/>
        </w:rPr>
        <w:t>както и</w:t>
      </w:r>
      <w:r w:rsidRPr="00D1033C">
        <w:t xml:space="preserve"> </w:t>
      </w:r>
      <w:r w:rsidR="003E335F">
        <w:t xml:space="preserve">предложения </w:t>
      </w:r>
      <w:r w:rsidRPr="00D1033C">
        <w:t>за актуализация на приетите цели, приоритети и мерки, които да залегнат в Стратегията за децентрализация за останалия период от нейното дей</w:t>
      </w:r>
      <w:r w:rsidR="003E335F">
        <w:t>ствие.</w:t>
      </w:r>
      <w:r w:rsidRPr="00D1033C">
        <w:t xml:space="preserve"> </w:t>
      </w:r>
      <w:r w:rsidRPr="00D1033C">
        <w:rPr>
          <w:rFonts w:eastAsia="Calibri"/>
          <w:lang w:eastAsia="en-US"/>
        </w:rPr>
        <w:t xml:space="preserve">Информацията е предоставена на Секретариата на СДДУ - Дирекция </w:t>
      </w:r>
      <w:r w:rsidRPr="00D1033C">
        <w:t xml:space="preserve">„Устройство на територията и административно-териториално устройство“, в </w:t>
      </w:r>
      <w:r w:rsidR="005E7878">
        <w:t>МРРБ</w:t>
      </w:r>
      <w:r w:rsidRPr="00D1033C">
        <w:t>. Тя е анализирана и включена в настоящия доклад.</w:t>
      </w:r>
    </w:p>
    <w:p w:rsidR="00D1033C" w:rsidRPr="00D1033C" w:rsidRDefault="00D1033C" w:rsidP="00D1033C">
      <w:pPr>
        <w:spacing w:before="0" w:after="0"/>
        <w:ind w:firstLine="709"/>
        <w:jc w:val="both"/>
        <w:rPr>
          <w:rFonts w:eastAsia="Calibri"/>
          <w:lang w:eastAsia="en-US" w:bidi="bg-BG"/>
        </w:rPr>
      </w:pPr>
      <w:r w:rsidRPr="00D1033C">
        <w:rPr>
          <w:rFonts w:eastAsia="Calibri"/>
          <w:lang w:eastAsia="en-US"/>
        </w:rPr>
        <w:t>Програмата за изпълнение на Стратегията за децентрализация за периода 2016-2019 г</w:t>
      </w:r>
      <w:r w:rsidRPr="00D1033C">
        <w:rPr>
          <w:rFonts w:eastAsia="Calibri"/>
          <w:lang w:eastAsia="en-US" w:bidi="bg-BG"/>
        </w:rPr>
        <w:t>. обхваща 32 мерки, насочени към изпълнението на 12 приоритета и 4 стратегически цели.</w:t>
      </w:r>
    </w:p>
    <w:p w:rsidR="00A2251D" w:rsidRDefault="00A2251D" w:rsidP="00D1033C">
      <w:pPr>
        <w:spacing w:before="0" w:after="160"/>
        <w:ind w:firstLine="708"/>
        <w:jc w:val="both"/>
        <w:rPr>
          <w:rFonts w:eastAsia="Calibri"/>
          <w:lang w:eastAsia="en-US" w:bidi="bg-BG"/>
        </w:rPr>
      </w:pPr>
    </w:p>
    <w:p w:rsidR="00D1033C" w:rsidRPr="00D1033C" w:rsidRDefault="00D1033C" w:rsidP="00D1033C">
      <w:pPr>
        <w:spacing w:before="0" w:after="160"/>
        <w:ind w:firstLine="708"/>
        <w:jc w:val="both"/>
        <w:rPr>
          <w:rFonts w:eastAsia="Calibri"/>
          <w:lang w:eastAsia="en-US" w:bidi="bg-BG"/>
        </w:rPr>
      </w:pPr>
      <w:r w:rsidRPr="005E7878">
        <w:rPr>
          <w:rFonts w:eastAsia="Calibri"/>
          <w:lang w:eastAsia="en-US" w:bidi="bg-BG"/>
        </w:rPr>
        <w:t>По</w:t>
      </w:r>
      <w:r w:rsidRPr="00D1033C">
        <w:rPr>
          <w:rFonts w:eastAsia="Calibri"/>
          <w:b/>
          <w:lang w:eastAsia="en-US" w:bidi="bg-BG"/>
        </w:rPr>
        <w:t xml:space="preserve"> Стратегическа цел 1</w:t>
      </w:r>
      <w:r w:rsidRPr="00D1033C">
        <w:rPr>
          <w:rFonts w:eastAsia="Calibri"/>
          <w:lang w:eastAsia="en-US" w:bidi="bg-BG"/>
        </w:rPr>
        <w:t xml:space="preserve"> „Прехвърляне на правомощия и функции от централната към</w:t>
      </w:r>
      <w:r w:rsidRPr="00D1033C">
        <w:rPr>
          <w:lang w:bidi="bg-BG"/>
        </w:rPr>
        <w:t xml:space="preserve"> местната власт в основни сектори“ </w:t>
      </w:r>
      <w:r w:rsidR="006911CA" w:rsidRPr="00D01BFE">
        <w:rPr>
          <w:lang w:bidi="bg-BG"/>
        </w:rPr>
        <w:t>е представена информация от отговор</w:t>
      </w:r>
      <w:r w:rsidR="002B1E04" w:rsidRPr="00D01BFE">
        <w:rPr>
          <w:lang w:bidi="bg-BG"/>
        </w:rPr>
        <w:t xml:space="preserve">ните институции </w:t>
      </w:r>
      <w:r w:rsidR="006911CA" w:rsidRPr="00D01BFE">
        <w:rPr>
          <w:lang w:bidi="bg-BG"/>
        </w:rPr>
        <w:t>за изпълнение</w:t>
      </w:r>
      <w:r w:rsidRPr="00D01BFE">
        <w:rPr>
          <w:lang w:bidi="bg-BG"/>
        </w:rPr>
        <w:t xml:space="preserve"> </w:t>
      </w:r>
      <w:r w:rsidR="002B1E04" w:rsidRPr="00D01BFE">
        <w:rPr>
          <w:lang w:bidi="bg-BG"/>
        </w:rPr>
        <w:t>на</w:t>
      </w:r>
      <w:r w:rsidR="006911CA" w:rsidRPr="00D01BFE">
        <w:rPr>
          <w:lang w:bidi="bg-BG"/>
        </w:rPr>
        <w:t xml:space="preserve"> шест</w:t>
      </w:r>
      <w:r w:rsidR="002B1E04" w:rsidRPr="00D01BFE">
        <w:rPr>
          <w:lang w:bidi="bg-BG"/>
        </w:rPr>
        <w:t xml:space="preserve"> от общо единадесет мерки </w:t>
      </w:r>
      <w:r w:rsidR="002B1E04" w:rsidRPr="002B1E04">
        <w:rPr>
          <w:lang w:bidi="bg-BG"/>
        </w:rPr>
        <w:t xml:space="preserve">са </w:t>
      </w:r>
      <w:r w:rsidRPr="00D1033C">
        <w:rPr>
          <w:lang w:bidi="bg-BG"/>
        </w:rPr>
        <w:t xml:space="preserve">изпълнени </w:t>
      </w:r>
      <w:r w:rsidRPr="002874BE">
        <w:rPr>
          <w:lang w:bidi="bg-BG"/>
        </w:rPr>
        <w:t xml:space="preserve">шест от </w:t>
      </w:r>
      <w:r w:rsidRPr="00D1033C">
        <w:rPr>
          <w:lang w:bidi="bg-BG"/>
        </w:rPr>
        <w:t>общо единадесет мерки, като постигнатите конкретни резултати включват:</w:t>
      </w:r>
    </w:p>
    <w:p w:rsidR="00D1033C" w:rsidRPr="00D01BFE" w:rsidRDefault="00D1033C" w:rsidP="002968B0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01BFE">
        <w:rPr>
          <w:lang w:bidi="bg-BG"/>
        </w:rPr>
        <w:t>Създадена организация за определяне на местата за изграждане на системи за видеонаблюдение и подпомагане на общините при разработване на технически задания, относно изграждане и въвеждане в експлоатация на такива системи;</w:t>
      </w:r>
    </w:p>
    <w:p w:rsidR="00D1033C" w:rsidRPr="00D01BFE" w:rsidRDefault="00D1033C" w:rsidP="002968B0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01BFE">
        <w:rPr>
          <w:lang w:bidi="bg-BG"/>
        </w:rPr>
        <w:t xml:space="preserve"> Създадени регистри във всички областни дирекции и в Столичната дирекция на </w:t>
      </w:r>
      <w:r w:rsidR="000412E9" w:rsidRPr="00D01BFE">
        <w:rPr>
          <w:lang w:bidi="bg-BG"/>
        </w:rPr>
        <w:t>Министерство на вътрешните работи</w:t>
      </w:r>
      <w:r w:rsidRPr="00D01BFE">
        <w:rPr>
          <w:lang w:bidi="bg-BG"/>
        </w:rPr>
        <w:t xml:space="preserve"> за изградените от органите на местната власт системи за видеонаблюдение в търговски и други обекти с масово пребиваване на хора, като информацията в тях периодично се актуализира;</w:t>
      </w:r>
    </w:p>
    <w:p w:rsidR="00D1033C" w:rsidRPr="00D1033C" w:rsidRDefault="00D1033C" w:rsidP="002968B0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1033C">
        <w:rPr>
          <w:lang w:bidi="bg-BG"/>
        </w:rPr>
        <w:t xml:space="preserve"> Предоставени правомощия на общините за участие в обществените съвети към общинските образователни институции, като се включва поне един представител на финансиращия орган (на общината или на министерство, в зависимост от формата на финансиране на всяко училище);</w:t>
      </w:r>
    </w:p>
    <w:p w:rsidR="00D1033C" w:rsidRPr="00D1033C" w:rsidRDefault="00D1033C" w:rsidP="002968B0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1033C">
        <w:rPr>
          <w:lang w:bidi="bg-BG"/>
        </w:rPr>
        <w:t xml:space="preserve"> Предоставена по-голяма свобода на общините за разпореждане със сградите на закрити училища;</w:t>
      </w:r>
    </w:p>
    <w:p w:rsidR="00D1033C" w:rsidRPr="00D1033C" w:rsidRDefault="00D1033C" w:rsidP="002968B0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1033C">
        <w:rPr>
          <w:lang w:bidi="bg-BG"/>
        </w:rPr>
        <w:t xml:space="preserve"> Преобразуване на професионалните гимназии на Министерство на земеделието, храните и горите в общински;</w:t>
      </w:r>
    </w:p>
    <w:p w:rsidR="00D1033C" w:rsidRPr="00D01BFE" w:rsidRDefault="00D1033C" w:rsidP="000620AC">
      <w:pPr>
        <w:numPr>
          <w:ilvl w:val="0"/>
          <w:numId w:val="2"/>
        </w:numPr>
        <w:spacing w:before="0" w:after="160"/>
        <w:ind w:left="780"/>
        <w:contextualSpacing/>
        <w:jc w:val="both"/>
        <w:rPr>
          <w:lang w:bidi="bg-BG"/>
        </w:rPr>
      </w:pPr>
      <w:r w:rsidRPr="00D01BFE">
        <w:rPr>
          <w:lang w:bidi="bg-BG"/>
        </w:rPr>
        <w:t xml:space="preserve"> Разширени общински правомощия по отношение осигуряване на подкрепата за личностно развитие и кариерното ориентиране.</w:t>
      </w:r>
    </w:p>
    <w:p w:rsidR="00152A5F" w:rsidRDefault="00152A5F" w:rsidP="002F0E56">
      <w:pPr>
        <w:spacing w:before="0" w:after="160"/>
        <w:jc w:val="both"/>
        <w:rPr>
          <w:b/>
          <w:lang w:bidi="bg-BG"/>
        </w:rPr>
      </w:pPr>
    </w:p>
    <w:p w:rsidR="00D1033C" w:rsidRPr="00D1033C" w:rsidRDefault="00D1033C" w:rsidP="002F0E56">
      <w:pPr>
        <w:spacing w:before="0" w:after="160"/>
        <w:jc w:val="both"/>
        <w:rPr>
          <w:lang w:bidi="bg-BG"/>
        </w:rPr>
      </w:pPr>
      <w:r w:rsidRPr="005E7878">
        <w:rPr>
          <w:lang w:bidi="bg-BG"/>
        </w:rPr>
        <w:t xml:space="preserve">По </w:t>
      </w:r>
      <w:r w:rsidRPr="00D1033C">
        <w:rPr>
          <w:b/>
          <w:lang w:bidi="bg-BG"/>
        </w:rPr>
        <w:t>Стратегическа цел 2</w:t>
      </w:r>
      <w:r w:rsidRPr="00D1033C">
        <w:rPr>
          <w:lang w:bidi="bg-BG"/>
        </w:rPr>
        <w:t xml:space="preserve"> „Установяване на оптимално разпределение на ресурси между централното и местното ниво“</w:t>
      </w:r>
      <w:r w:rsidR="001159D9" w:rsidRPr="001159D9">
        <w:rPr>
          <w:color w:val="C00000"/>
          <w:lang w:bidi="bg-BG"/>
        </w:rPr>
        <w:t xml:space="preserve"> </w:t>
      </w:r>
      <w:r w:rsidR="001159D9" w:rsidRPr="00D01BFE">
        <w:rPr>
          <w:lang w:bidi="bg-BG"/>
        </w:rPr>
        <w:t>е представена информация от отговорните институции за изпълнение на пет от общо осем мерки</w:t>
      </w:r>
      <w:r w:rsidRPr="00D01BFE">
        <w:rPr>
          <w:lang w:bidi="bg-BG"/>
        </w:rPr>
        <w:t xml:space="preserve"> </w:t>
      </w:r>
      <w:r w:rsidRPr="00D1033C">
        <w:rPr>
          <w:lang w:bidi="bg-BG"/>
        </w:rPr>
        <w:t xml:space="preserve">са изпълнени </w:t>
      </w:r>
      <w:r w:rsidRPr="002874BE">
        <w:rPr>
          <w:lang w:bidi="bg-BG"/>
        </w:rPr>
        <w:t xml:space="preserve">пет </w:t>
      </w:r>
      <w:r w:rsidRPr="00D1033C">
        <w:rPr>
          <w:lang w:bidi="bg-BG"/>
        </w:rPr>
        <w:t xml:space="preserve">от общо осем мерки, като постигнатите конкретни резултати включват: </w:t>
      </w:r>
    </w:p>
    <w:p w:rsidR="00D1033C" w:rsidRPr="00D01BFE" w:rsidRDefault="00D1033C" w:rsidP="002968B0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D01BFE">
        <w:rPr>
          <w:lang w:bidi="bg-BG"/>
        </w:rPr>
        <w:t xml:space="preserve">Въвеждане на нов начин за определяне на таксата за битови отпадъци след 2020 г.; </w:t>
      </w:r>
    </w:p>
    <w:p w:rsidR="00D1033C" w:rsidRPr="00D1033C" w:rsidRDefault="00D1033C" w:rsidP="002968B0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D1033C">
        <w:rPr>
          <w:lang w:bidi="bg-BG"/>
        </w:rPr>
        <w:t>Подпомагане на общинските администрации за увеличаване събираемостта на данъка върху превозните средства и намаляване на административната тежест за гражданите чрез създадена възможност за автоматизирана проверка и електронен обмен на данни между институциите за платения данък;</w:t>
      </w:r>
      <w:r w:rsidRPr="00D1033C">
        <w:rPr>
          <w:color w:val="FF0000"/>
          <w:lang w:eastAsia="en-US"/>
        </w:rPr>
        <w:t xml:space="preserve"> </w:t>
      </w:r>
    </w:p>
    <w:p w:rsidR="00D1033C" w:rsidRPr="002968B0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eastAsia="en-US"/>
        </w:rPr>
        <w:t xml:space="preserve">Въвеждане на нов местен данък - данък върху таксиметров превоз на пътници, който постъпва в общинския бюджет и в тази връзка се явява нов приходоизточник за общините; </w:t>
      </w:r>
    </w:p>
    <w:p w:rsidR="00D1033C" w:rsidRPr="00D01BFE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D01BFE">
        <w:rPr>
          <w:lang w:eastAsia="en-US" w:bidi="bg-BG"/>
        </w:rPr>
        <w:t>Въвеждане на нов начин за определяне на таксата за битови отпадъци след 2022 г.;</w:t>
      </w:r>
    </w:p>
    <w:p w:rsidR="00D1033C" w:rsidRPr="002968B0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eastAsia="en-US"/>
        </w:rPr>
        <w:t>Нов</w:t>
      </w:r>
      <w:r w:rsidRPr="002968B0">
        <w:rPr>
          <w:lang w:eastAsia="en-US" w:bidi="bg-BG"/>
        </w:rPr>
        <w:t xml:space="preserve"> начин за определяне на данъка върху превозните средства за леки и товарни автомобили с технически допустима максимална маса не повече от 3,5 т, което дава по-големи възможности за разширяване на собствената приходна база на общините във връзка с основата за определяне на данъка за посочените автомобили и отпадане на някои облекчения /напр. за действащо </w:t>
      </w:r>
      <w:proofErr w:type="spellStart"/>
      <w:r w:rsidRPr="002968B0">
        <w:rPr>
          <w:lang w:eastAsia="en-US" w:bidi="bg-BG"/>
        </w:rPr>
        <w:t>катализаторно</w:t>
      </w:r>
      <w:proofErr w:type="spellEnd"/>
      <w:r w:rsidRPr="002968B0">
        <w:rPr>
          <w:lang w:eastAsia="en-US" w:bidi="bg-BG"/>
        </w:rPr>
        <w:t xml:space="preserve"> устройство и замяната му с екологичен</w:t>
      </w:r>
      <w:r w:rsidRPr="002968B0">
        <w:rPr>
          <w:rFonts w:ascii="Calibri" w:hAnsi="Calibri"/>
          <w:sz w:val="20"/>
          <w:szCs w:val="20"/>
          <w:lang w:eastAsia="en-US"/>
        </w:rPr>
        <w:t xml:space="preserve"> </w:t>
      </w:r>
      <w:r w:rsidRPr="002968B0">
        <w:rPr>
          <w:lang w:eastAsia="en-US" w:bidi="bg-BG"/>
        </w:rPr>
        <w:t xml:space="preserve">коефициент/; </w:t>
      </w:r>
    </w:p>
    <w:p w:rsidR="00D1033C" w:rsidRPr="002968B0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Създаване на механизми за консултиране с гражданите и бизнеса при публично обсъждане на проекта на общинския бюджет и на резултатите от изпълнението му;</w:t>
      </w:r>
    </w:p>
    <w:p w:rsidR="00D1033C" w:rsidRPr="002968B0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 Предоставени безвъзмездно за управление на общините 16 броя имоти, представляващи археологически недвижими културни ценности;</w:t>
      </w:r>
    </w:p>
    <w:p w:rsidR="00D1033C" w:rsidRPr="00D01BFE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D01BFE">
        <w:rPr>
          <w:lang w:bidi="bg-BG"/>
        </w:rPr>
        <w:t xml:space="preserve"> Разработен и утвърден нов механизъм за разпределението и определянето на общия размер на капиталовата субсидия за общините;</w:t>
      </w:r>
    </w:p>
    <w:p w:rsidR="00D1033C" w:rsidRPr="002968B0" w:rsidRDefault="00D1033C" w:rsidP="00D1033C">
      <w:pPr>
        <w:numPr>
          <w:ilvl w:val="0"/>
          <w:numId w:val="3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Промяна в механизма за разпределение на изравнителната субсидия, утвърдена със </w:t>
      </w:r>
      <w:r w:rsidR="00C577A6" w:rsidRPr="00C577A6">
        <w:rPr>
          <w:lang w:bidi="bg-BG"/>
        </w:rPr>
        <w:t>Закон</w:t>
      </w:r>
      <w:r w:rsidR="00C577A6">
        <w:rPr>
          <w:lang w:bidi="bg-BG"/>
        </w:rPr>
        <w:t>а</w:t>
      </w:r>
      <w:r w:rsidR="00C577A6" w:rsidRPr="00C577A6">
        <w:rPr>
          <w:lang w:bidi="bg-BG"/>
        </w:rPr>
        <w:t xml:space="preserve"> за държавния бюджет на република България</w:t>
      </w:r>
      <w:r w:rsidRPr="00C577A6">
        <w:rPr>
          <w:lang w:bidi="bg-BG"/>
        </w:rPr>
        <w:t xml:space="preserve"> </w:t>
      </w:r>
      <w:r w:rsidRPr="002968B0">
        <w:rPr>
          <w:lang w:bidi="bg-BG"/>
        </w:rPr>
        <w:t>за 2019 г. Предложението за промяна е изготвено на база на направените изводи, като се цели по-справедливо разпределение на общата изравнителна субсидия, с цел приближаване до нейното основно предназначение, а именно осигуряване на съпоставимо равнище на фискални възможности за предоставяне на необходимите местни услуги в общините.</w:t>
      </w:r>
    </w:p>
    <w:p w:rsidR="00A2251D" w:rsidRDefault="00A2251D" w:rsidP="00D1033C">
      <w:pPr>
        <w:widowControl w:val="0"/>
        <w:spacing w:before="0" w:after="0"/>
        <w:ind w:firstLine="709"/>
        <w:jc w:val="both"/>
        <w:rPr>
          <w:lang w:bidi="bg-BG"/>
        </w:rPr>
      </w:pPr>
    </w:p>
    <w:p w:rsidR="00D1033C" w:rsidRPr="002968B0" w:rsidRDefault="00D1033C" w:rsidP="00D1033C">
      <w:pPr>
        <w:widowControl w:val="0"/>
        <w:spacing w:before="0" w:after="0"/>
        <w:ind w:firstLine="709"/>
        <w:jc w:val="both"/>
        <w:rPr>
          <w:lang w:bidi="bg-BG"/>
        </w:rPr>
      </w:pPr>
      <w:r w:rsidRPr="005E7878">
        <w:rPr>
          <w:lang w:bidi="bg-BG"/>
        </w:rPr>
        <w:t>По</w:t>
      </w:r>
      <w:r w:rsidRPr="002968B0">
        <w:rPr>
          <w:b/>
          <w:lang w:bidi="bg-BG"/>
        </w:rPr>
        <w:t xml:space="preserve"> Стратегическа цел 3</w:t>
      </w:r>
      <w:r w:rsidRPr="002968B0">
        <w:rPr>
          <w:lang w:bidi="bg-BG"/>
        </w:rPr>
        <w:t xml:space="preserve"> „Граждански контрол върху действията на публичните институции“</w:t>
      </w:r>
      <w:r w:rsidR="00EB2B51" w:rsidRPr="00EB2B51">
        <w:rPr>
          <w:color w:val="C00000"/>
          <w:lang w:bidi="bg-BG"/>
        </w:rPr>
        <w:t xml:space="preserve"> </w:t>
      </w:r>
      <w:r w:rsidR="00EB2B51" w:rsidRPr="00D01BFE">
        <w:rPr>
          <w:lang w:bidi="bg-BG"/>
        </w:rPr>
        <w:t>е представена информация от отговорните институции за изпълнение на четири от общо пет мерки</w:t>
      </w:r>
      <w:r w:rsidRPr="00D01BFE">
        <w:rPr>
          <w:lang w:bidi="bg-BG"/>
        </w:rPr>
        <w:t xml:space="preserve"> </w:t>
      </w:r>
      <w:r w:rsidRPr="002968B0">
        <w:rPr>
          <w:lang w:bidi="bg-BG"/>
        </w:rPr>
        <w:t xml:space="preserve">са изпълнени четири от общо пет мерки, като постигнатите конкретни резултати включват: </w:t>
      </w:r>
    </w:p>
    <w:p w:rsidR="00D1033C" w:rsidRPr="00D1033C" w:rsidRDefault="00D1033C" w:rsidP="00D1033C">
      <w:pPr>
        <w:widowControl w:val="0"/>
        <w:numPr>
          <w:ilvl w:val="0"/>
          <w:numId w:val="3"/>
        </w:numPr>
        <w:spacing w:before="0" w:after="0"/>
        <w:jc w:val="both"/>
        <w:rPr>
          <w:lang w:eastAsia="en-US"/>
        </w:rPr>
      </w:pPr>
      <w:r w:rsidRPr="002968B0">
        <w:rPr>
          <w:lang w:bidi="bg-BG"/>
        </w:rPr>
        <w:t xml:space="preserve">Осъществени инициативи за прилагане на 12-те принципа за добро демократично </w:t>
      </w:r>
      <w:r w:rsidRPr="00D1033C">
        <w:rPr>
          <w:color w:val="000000"/>
          <w:lang w:bidi="bg-BG"/>
        </w:rPr>
        <w:t>управление на Стратегията за иновации и добро управление на местно ниво на Съвета на Европа, финансирани със с</w:t>
      </w:r>
      <w:r w:rsidR="00BA35CA">
        <w:rPr>
          <w:color w:val="000000"/>
          <w:lang w:bidi="bg-BG"/>
        </w:rPr>
        <w:t>редства от Оперативна програма „</w:t>
      </w:r>
      <w:r w:rsidRPr="00D1033C">
        <w:rPr>
          <w:color w:val="000000"/>
          <w:lang w:bidi="bg-BG"/>
        </w:rPr>
        <w:t xml:space="preserve">Добро управление“; </w:t>
      </w:r>
    </w:p>
    <w:p w:rsidR="00D1033C" w:rsidRPr="00D1033C" w:rsidRDefault="00D1033C" w:rsidP="00D1033C">
      <w:pPr>
        <w:widowControl w:val="0"/>
        <w:numPr>
          <w:ilvl w:val="0"/>
          <w:numId w:val="3"/>
        </w:numPr>
        <w:spacing w:before="0" w:after="0"/>
        <w:jc w:val="both"/>
        <w:rPr>
          <w:lang w:eastAsia="en-US"/>
        </w:rPr>
      </w:pPr>
      <w:r w:rsidRPr="00D1033C">
        <w:rPr>
          <w:color w:val="000000"/>
          <w:lang w:bidi="bg-BG"/>
        </w:rPr>
        <w:t>Изследване на участието на неправителствени организации и граждански структури в процеса на формулиране, изпълнение и наблюдение на местни политики в областта на икономическото развитие, образованието, социалните дейности, културата, жилищната политика, техническата инфраструктура, услугите от общ интерес и опазването на околната среда.</w:t>
      </w:r>
    </w:p>
    <w:p w:rsidR="00D1033C" w:rsidRPr="00D1033C" w:rsidRDefault="00D1033C" w:rsidP="00D1033C">
      <w:pPr>
        <w:widowControl w:val="0"/>
        <w:spacing w:before="0" w:after="0" w:line="365" w:lineRule="exact"/>
        <w:ind w:firstLine="0"/>
        <w:jc w:val="both"/>
        <w:rPr>
          <w:lang w:eastAsia="en-US"/>
        </w:rPr>
      </w:pPr>
    </w:p>
    <w:p w:rsidR="00D1033C" w:rsidRPr="002968B0" w:rsidRDefault="00D1033C" w:rsidP="00D1033C">
      <w:pPr>
        <w:spacing w:before="0" w:after="160"/>
        <w:ind w:firstLine="709"/>
        <w:jc w:val="both"/>
        <w:rPr>
          <w:lang w:bidi="bg-BG"/>
        </w:rPr>
      </w:pPr>
      <w:r w:rsidRPr="005E7878">
        <w:rPr>
          <w:lang w:bidi="bg-BG"/>
        </w:rPr>
        <w:t xml:space="preserve">По </w:t>
      </w:r>
      <w:r w:rsidRPr="002968B0">
        <w:rPr>
          <w:b/>
          <w:lang w:bidi="bg-BG"/>
        </w:rPr>
        <w:t>Стратегическа цел 4</w:t>
      </w:r>
      <w:r w:rsidRPr="002968B0">
        <w:rPr>
          <w:lang w:bidi="bg-BG"/>
        </w:rPr>
        <w:t xml:space="preserve"> „Повишаване влиянието на регионалните институции за провеждане на координирана политика за регионално развитие“</w:t>
      </w:r>
      <w:r w:rsidR="00E74A19" w:rsidRPr="00E74A19">
        <w:rPr>
          <w:color w:val="C00000"/>
          <w:lang w:bidi="bg-BG"/>
        </w:rPr>
        <w:t xml:space="preserve"> </w:t>
      </w:r>
      <w:r w:rsidR="00E74A19" w:rsidRPr="00D01BFE">
        <w:rPr>
          <w:lang w:bidi="bg-BG"/>
        </w:rPr>
        <w:t>е представена информация от отговорните институции за изпълнение на шест от общо осем мерки</w:t>
      </w:r>
      <w:r w:rsidRPr="00D01BFE">
        <w:rPr>
          <w:lang w:bidi="bg-BG"/>
        </w:rPr>
        <w:t xml:space="preserve"> </w:t>
      </w:r>
      <w:r w:rsidRPr="002968B0">
        <w:rPr>
          <w:lang w:bidi="bg-BG"/>
        </w:rPr>
        <w:t>са изпълнени шест от общо осем мерки,  като постигнатите конкретни резултати включват: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Разработен анализ на  състоянието и прогноза на количествените параметри на </w:t>
      </w:r>
      <w:r w:rsidR="00054F18">
        <w:rPr>
          <w:lang w:bidi="bg-BG"/>
        </w:rPr>
        <w:t>съществуващите райони от ниво 2;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Направени предложения за промени в обхвата на границите на районит</w:t>
      </w:r>
      <w:r w:rsidR="00054F18">
        <w:rPr>
          <w:lang w:bidi="bg-BG"/>
        </w:rPr>
        <w:t>е от ниво 2, които не са приети</w:t>
      </w:r>
      <w:r w:rsidRPr="002968B0">
        <w:rPr>
          <w:lang w:bidi="bg-BG"/>
        </w:rPr>
        <w:t>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Разработен е социално-икономически анализ на районите;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Разработен доклад относно резултатите от извършено „Картиране на системата от стратегически документи за регионално развитие и предложение за нови подходи в националната политика за регионално развитие“;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МРРБ е в процес на изпълнение на споразумението с Организацията за икономическо сътрудничество и развитие </w:t>
      </w:r>
      <w:r w:rsidRPr="005E7878">
        <w:rPr>
          <w:lang w:bidi="bg-BG"/>
        </w:rPr>
        <w:t>(</w:t>
      </w:r>
      <w:r w:rsidRPr="002968B0">
        <w:rPr>
          <w:lang w:bidi="bg-BG"/>
        </w:rPr>
        <w:t>ОИСР</w:t>
      </w:r>
      <w:r w:rsidRPr="005E7878">
        <w:rPr>
          <w:lang w:bidi="bg-BG"/>
        </w:rPr>
        <w:t>)</w:t>
      </w:r>
      <w:r w:rsidRPr="002968B0">
        <w:rPr>
          <w:lang w:bidi="bg-BG"/>
        </w:rPr>
        <w:t xml:space="preserve"> „Преглед на многостепенното управление - как многостепенното управление и децентрализацията да бъдат успешни за регионалното развитие на България“, като очакваните резултати</w:t>
      </w:r>
      <w:r w:rsidRPr="002968B0">
        <w:rPr>
          <w:rFonts w:ascii="Calibri" w:hAnsi="Calibri"/>
          <w:sz w:val="20"/>
          <w:szCs w:val="20"/>
          <w:lang w:eastAsia="en-US"/>
        </w:rPr>
        <w:t xml:space="preserve"> </w:t>
      </w:r>
      <w:r w:rsidRPr="002968B0">
        <w:rPr>
          <w:lang w:bidi="bg-BG"/>
        </w:rPr>
        <w:t>от изпълнението включват изготвянето на аналитичен доклад относно предизвикателствата на многостепенното управление в България, задълбочен преглед на многостепенното управление и подкрепа на реформата на регионалното развитие и децентрализацията, както и окончателен доклад заедно с пътна карта за бъдещи реформи;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 Сключени са споразумения за консултантски услуги с ОИСР и Световна банка за подкрепа на процеса по подготовка за новия планов и програмен период 2021-2027 г.;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По споразумението с ОИСР е проведен международен семинар, консултации под формата на фокус групи, засягащи темите за децентрализация и многостепенно управление;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МРРБ е в процес на изпълнение на споразумение със Световната банка с цел подобряване на процеса за регионално развитие в България през следващия програмен период и за подкрепа за изграждане на капацитет на Регионалните съвети за развитие</w:t>
      </w:r>
      <w:r w:rsidR="004468D5">
        <w:rPr>
          <w:lang w:bidi="bg-BG"/>
        </w:rPr>
        <w:t xml:space="preserve"> </w:t>
      </w:r>
      <w:r w:rsidR="004468D5" w:rsidRPr="005E7878">
        <w:rPr>
          <w:lang w:bidi="bg-BG"/>
        </w:rPr>
        <w:t>(</w:t>
      </w:r>
      <w:r w:rsidR="004468D5">
        <w:rPr>
          <w:lang w:bidi="bg-BG"/>
        </w:rPr>
        <w:t>РСР</w:t>
      </w:r>
      <w:r w:rsidR="004468D5" w:rsidRPr="005E7878">
        <w:rPr>
          <w:lang w:bidi="bg-BG"/>
        </w:rPr>
        <w:t>)</w:t>
      </w:r>
      <w:r w:rsidRPr="002968B0">
        <w:rPr>
          <w:lang w:bidi="bg-BG"/>
        </w:rPr>
        <w:t xml:space="preserve"> и тяхното участие в изпълнението на новата </w:t>
      </w:r>
      <w:r w:rsidR="006B1169">
        <w:rPr>
          <w:lang w:bidi="bg-BG"/>
        </w:rPr>
        <w:t>Оперативна програма „Развитие на регионите“</w:t>
      </w:r>
      <w:r w:rsidR="006B1169" w:rsidRPr="005E7878">
        <w:rPr>
          <w:lang w:bidi="bg-BG"/>
        </w:rPr>
        <w:t xml:space="preserve"> (</w:t>
      </w:r>
      <w:r w:rsidR="006B1169">
        <w:rPr>
          <w:lang w:bidi="bg-BG"/>
        </w:rPr>
        <w:t>ОП</w:t>
      </w:r>
      <w:r w:rsidR="006B1169" w:rsidRPr="002968B0">
        <w:rPr>
          <w:lang w:bidi="bg-BG"/>
        </w:rPr>
        <w:t>РР</w:t>
      </w:r>
      <w:r w:rsidR="006B1169" w:rsidRPr="005E7878">
        <w:rPr>
          <w:lang w:bidi="bg-BG"/>
        </w:rPr>
        <w:t>)</w:t>
      </w:r>
      <w:r w:rsidR="006B1169">
        <w:rPr>
          <w:lang w:bidi="bg-BG"/>
        </w:rPr>
        <w:t xml:space="preserve"> 2021-2027 г.</w:t>
      </w:r>
      <w:r w:rsidRPr="002968B0">
        <w:rPr>
          <w:lang w:bidi="bg-BG"/>
        </w:rPr>
        <w:t xml:space="preserve"> Част от очакваните резултати от проекта включват доклад, очертаващ предложението за механизъм за включване на РСР в процеса на изпълнение на бъдещата ОПРР 2021-2027 г., както и доклад, съдържащ проект на оперативни документи, описващи конкретните оперативни условия за РСР, свързани с участието им в изпълнението на следващата оперативна програма;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Изготвен Закон за изменение и допълнение на Закона за регионалното развитие </w:t>
      </w:r>
      <w:r w:rsidRPr="005E7878">
        <w:rPr>
          <w:lang w:bidi="bg-BG"/>
        </w:rPr>
        <w:t>(</w:t>
      </w:r>
      <w:r w:rsidRPr="002968B0">
        <w:rPr>
          <w:lang w:bidi="bg-BG"/>
        </w:rPr>
        <w:t>ЗИД на ЗРР</w:t>
      </w:r>
      <w:r w:rsidRPr="005E7878">
        <w:rPr>
          <w:lang w:bidi="bg-BG"/>
        </w:rPr>
        <w:t>)</w:t>
      </w:r>
      <w:r w:rsidRPr="002968B0">
        <w:rPr>
          <w:lang w:bidi="bg-BG"/>
        </w:rPr>
        <w:t xml:space="preserve"> влязъл в сила и обнародван в Държавен вестник – бр. 21 от дата 13.03.2020 г. и проект на Правилник за прилагане на ЗРР </w:t>
      </w:r>
      <w:r w:rsidRPr="005E7878">
        <w:rPr>
          <w:lang w:bidi="bg-BG"/>
        </w:rPr>
        <w:t>(</w:t>
      </w:r>
      <w:r w:rsidRPr="002968B0">
        <w:rPr>
          <w:lang w:bidi="bg-BG"/>
        </w:rPr>
        <w:t>ППЗРР</w:t>
      </w:r>
      <w:r w:rsidRPr="005E7878">
        <w:rPr>
          <w:lang w:bidi="bg-BG"/>
        </w:rPr>
        <w:t>)</w:t>
      </w:r>
      <w:r w:rsidRPr="002968B0">
        <w:rPr>
          <w:lang w:bidi="bg-BG"/>
        </w:rPr>
        <w:t>, в който функциите, състава, правомощията и източниците за финансиране на работата РСР са подробно разписани. Проектът на  ППЗРР преминава по процедурата за междуведомствено съгласуване и п</w:t>
      </w:r>
      <w:r w:rsidR="008C0AC9">
        <w:rPr>
          <w:lang w:bidi="bg-BG"/>
        </w:rPr>
        <w:t>редстои неговото приемане  от Министерския съвет</w:t>
      </w:r>
      <w:r w:rsidRPr="002968B0">
        <w:rPr>
          <w:lang w:bidi="bg-BG"/>
        </w:rPr>
        <w:t>. Очаква се процесът по трансформиране на РСР да приключи до края на 2020 г. Предвидено е осъществяването на поредица от действия (кампании, срещи, обучения) за сформиране на новите РСР, съгласно законодателните промени. В процеса на трансформиране на новите РСР, МРРБ ще получава подкрепа в процеса по линия на споразуменията с ОИСР и Световна банка;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В рамките на споразумението със Световната банка се изготвя анализ относно нуждите от провеждане на обучения във връзка с повишаване на техническия и административния капацитет на Регионалните съвети за развитие.</w:t>
      </w:r>
      <w:r w:rsidRPr="002968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968B0">
        <w:rPr>
          <w:lang w:bidi="bg-BG"/>
        </w:rPr>
        <w:t>Споразумението към момента се намира в третия, последен компонент от своето изпълнение, МРРБ продължава да получава текуща подкрепа по разработения стратегически подход за новата оперативна програма за развитие на регионите, включително консултации по отношение на продължаващите промени в законодателството, свързано с регионалното развитие, както и планирането на изпълнението на интегрирани териториални инве</w:t>
      </w:r>
      <w:r w:rsidR="00054F18">
        <w:rPr>
          <w:lang w:bidi="bg-BG"/>
        </w:rPr>
        <w:t>стиции в новия програмен период;</w:t>
      </w:r>
    </w:p>
    <w:p w:rsidR="00D1033C" w:rsidRPr="005E7878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Пилотният проект за изграждане на</w:t>
      </w:r>
      <w:r w:rsidR="00C8405F">
        <w:rPr>
          <w:lang w:bidi="bg-BG"/>
        </w:rPr>
        <w:t xml:space="preserve"> административен капацитет на Управляващия орган</w:t>
      </w:r>
      <w:r w:rsidRPr="002968B0">
        <w:rPr>
          <w:lang w:bidi="bg-BG"/>
        </w:rPr>
        <w:t xml:space="preserve"> на ОПРР за подготовка за про</w:t>
      </w:r>
      <w:r w:rsidR="00C8405F">
        <w:rPr>
          <w:lang w:bidi="bg-BG"/>
        </w:rPr>
        <w:t xml:space="preserve">грамния период 2021 – 2027 г., </w:t>
      </w:r>
      <w:r w:rsidRPr="002968B0">
        <w:rPr>
          <w:lang w:bidi="bg-BG"/>
        </w:rPr>
        <w:t xml:space="preserve">който </w:t>
      </w:r>
      <w:r w:rsidR="00397B63">
        <w:rPr>
          <w:lang w:bidi="bg-BG"/>
        </w:rPr>
        <w:t>се изпълнява с подкрепата на  Европейската комисия</w:t>
      </w:r>
      <w:r w:rsidRPr="002968B0">
        <w:rPr>
          <w:lang w:bidi="bg-BG"/>
        </w:rPr>
        <w:t xml:space="preserve"> и ОИСР, е представила резултати  във вид на Пътна карта с последователност от действия, насочени към цялостно въздействие и промяна по</w:t>
      </w:r>
      <w:r w:rsidRPr="005E7878">
        <w:rPr>
          <w:rFonts w:ascii="Calibri" w:hAnsi="Calibri"/>
          <w:sz w:val="20"/>
          <w:szCs w:val="20"/>
          <w:lang w:eastAsia="en-US"/>
        </w:rPr>
        <w:t xml:space="preserve"> </w:t>
      </w:r>
      <w:r w:rsidRPr="005E7878">
        <w:rPr>
          <w:lang w:bidi="bg-BG"/>
        </w:rPr>
        <w:t>отношение управлението и прилагането на ЕСИФ. Проектът навлиза в своята втора фаза, която ще допринесе за изпълнението на цел 2.2, действие 1:</w:t>
      </w:r>
      <w:r w:rsidRPr="002968B0">
        <w:rPr>
          <w:lang w:val="en-US" w:bidi="bg-BG"/>
        </w:rPr>
        <w:t> </w:t>
      </w:r>
      <w:r w:rsidRPr="005E7878">
        <w:rPr>
          <w:i/>
          <w:iCs/>
          <w:lang w:bidi="bg-BG"/>
        </w:rPr>
        <w:t>Разработване и стартиране на вътрешен и външен процес на консултации със заинтересованите страни</w:t>
      </w:r>
      <w:r w:rsidRPr="002968B0">
        <w:rPr>
          <w:lang w:val="en-US" w:bidi="bg-BG"/>
        </w:rPr>
        <w:t> </w:t>
      </w:r>
      <w:r w:rsidRPr="005E7878">
        <w:rPr>
          <w:lang w:bidi="bg-BG"/>
        </w:rPr>
        <w:t xml:space="preserve">за идентифициране на пропуски в капацитета на РСР, особено при подбора и оценката на проекти през следващия програмен период. </w:t>
      </w:r>
      <w:r w:rsidRPr="002968B0">
        <w:rPr>
          <w:lang w:bidi="bg-BG"/>
        </w:rPr>
        <w:t>В изпълнение на съвместния проект с ОИСР, насочен към многостепенното управление и децентрализацията, през месец март се подготвиха семинари в София и Пловдив за</w:t>
      </w:r>
      <w:r w:rsidRPr="005E7878">
        <w:rPr>
          <w:bCs/>
          <w:iCs/>
          <w:lang w:bidi="bg-BG"/>
        </w:rPr>
        <w:t xml:space="preserve"> представяне на международния опит и обсъждане на възможните варианти за осъществяването на този процес в България. </w:t>
      </w:r>
      <w:r w:rsidRPr="002968B0">
        <w:rPr>
          <w:lang w:bidi="bg-BG"/>
        </w:rPr>
        <w:t>Събитията бяха отложени</w:t>
      </w:r>
      <w:r w:rsidRPr="005E7878">
        <w:rPr>
          <w:bCs/>
          <w:iCs/>
          <w:lang w:bidi="bg-BG"/>
        </w:rPr>
        <w:t xml:space="preserve"> поради </w:t>
      </w:r>
      <w:r w:rsidRPr="002968B0">
        <w:rPr>
          <w:lang w:bidi="bg-BG"/>
        </w:rPr>
        <w:t xml:space="preserve">необходимостта от прилагане на строги мерки за преодоляване на кризата с </w:t>
      </w:r>
      <w:r w:rsidRPr="002968B0">
        <w:rPr>
          <w:lang w:val="en-GB" w:bidi="bg-BG"/>
        </w:rPr>
        <w:t>COVID</w:t>
      </w:r>
      <w:r w:rsidRPr="005E7878">
        <w:rPr>
          <w:lang w:bidi="bg-BG"/>
        </w:rPr>
        <w:t>–19</w:t>
      </w:r>
      <w:r w:rsidRPr="002968B0">
        <w:rPr>
          <w:lang w:bidi="bg-BG"/>
        </w:rPr>
        <w:t>. Предстои финализирането на доклада на ОИСР с изводи и препоръки по отношение на многостепенното</w:t>
      </w:r>
      <w:r w:rsidR="00054F18">
        <w:rPr>
          <w:lang w:bidi="bg-BG"/>
        </w:rPr>
        <w:t xml:space="preserve"> управление и децентрализацията</w:t>
      </w:r>
      <w:r w:rsidRPr="002968B0">
        <w:rPr>
          <w:lang w:bidi="bg-BG"/>
        </w:rPr>
        <w:t>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>Предоставени са координиращи функции на областния управител, чрез участието му като член с право на глас в Регионалния съвет за развитие;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Чрез промяна в нормативната уредба за регионално развитие са разширени правомощията и функциите на РСР, като съгласно промените те участват в процеса на подбор на проекти, финансирани от различни източници, включително </w:t>
      </w:r>
      <w:r w:rsidR="006771F3">
        <w:rPr>
          <w:lang w:bidi="bg-BG"/>
        </w:rPr>
        <w:t>Европейски структурни и инвестиционни фондове</w:t>
      </w:r>
      <w:r w:rsidRPr="002968B0">
        <w:rPr>
          <w:lang w:bidi="bg-BG"/>
        </w:rPr>
        <w:t>, в изпълнение на интегрираната териториална стратегия за развитие на</w:t>
      </w:r>
      <w:r w:rsidR="00054F18">
        <w:rPr>
          <w:lang w:bidi="bg-BG"/>
        </w:rPr>
        <w:t xml:space="preserve"> региона за планиране от ниво 2;</w:t>
      </w:r>
      <w:r w:rsidRPr="002968B0">
        <w:rPr>
          <w:lang w:bidi="bg-BG"/>
        </w:rPr>
        <w:t xml:space="preserve"> </w:t>
      </w:r>
    </w:p>
    <w:p w:rsidR="00D1033C" w:rsidRPr="002968B0" w:rsidRDefault="00D1033C" w:rsidP="00D1033C">
      <w:pPr>
        <w:numPr>
          <w:ilvl w:val="0"/>
          <w:numId w:val="4"/>
        </w:numPr>
        <w:spacing w:before="0" w:after="160"/>
        <w:contextualSpacing/>
        <w:jc w:val="both"/>
        <w:rPr>
          <w:lang w:bidi="bg-BG"/>
        </w:rPr>
      </w:pPr>
      <w:r w:rsidRPr="002968B0">
        <w:rPr>
          <w:lang w:bidi="bg-BG"/>
        </w:rPr>
        <w:t xml:space="preserve">Предвижда се промяна в </w:t>
      </w:r>
      <w:r w:rsidR="00A64358" w:rsidRPr="00A64358">
        <w:rPr>
          <w:lang w:bidi="bg-BG"/>
        </w:rPr>
        <w:t>Закона за управление на средствата от европейските структурни и инвестиционни фондове</w:t>
      </w:r>
      <w:r w:rsidRPr="00A64358">
        <w:rPr>
          <w:lang w:bidi="bg-BG"/>
        </w:rPr>
        <w:t xml:space="preserve"> </w:t>
      </w:r>
      <w:r w:rsidRPr="002968B0">
        <w:rPr>
          <w:lang w:bidi="bg-BG"/>
        </w:rPr>
        <w:t>и разработване на нов подзаконов нормативен акт (ПМС), свързани с въвеждането н</w:t>
      </w:r>
      <w:r w:rsidR="00A64358">
        <w:rPr>
          <w:lang w:bidi="bg-BG"/>
        </w:rPr>
        <w:t>а механизъм за изпълнение на Интегрирани териториални инвестиции</w:t>
      </w:r>
      <w:r w:rsidRPr="002968B0">
        <w:rPr>
          <w:lang w:bidi="bg-BG"/>
        </w:rPr>
        <w:t xml:space="preserve"> в периода 2021-2027 г.</w:t>
      </w:r>
    </w:p>
    <w:p w:rsidR="00D1033C" w:rsidRPr="002968B0" w:rsidRDefault="00D1033C" w:rsidP="00D1033C">
      <w:pPr>
        <w:spacing w:before="0" w:after="160"/>
        <w:ind w:left="720" w:firstLine="0"/>
        <w:contextualSpacing/>
        <w:jc w:val="both"/>
        <w:rPr>
          <w:lang w:bidi="bg-BG"/>
        </w:rPr>
      </w:pPr>
    </w:p>
    <w:p w:rsidR="007C0473" w:rsidRPr="00D01BFE" w:rsidRDefault="00D1033C" w:rsidP="00356CDF">
      <w:pPr>
        <w:spacing w:before="0" w:after="0"/>
        <w:ind w:firstLine="709"/>
        <w:jc w:val="both"/>
        <w:rPr>
          <w:lang w:bidi="bg-BG"/>
        </w:rPr>
      </w:pPr>
      <w:r w:rsidRPr="002968B0">
        <w:rPr>
          <w:lang w:bidi="bg-BG"/>
        </w:rPr>
        <w:t xml:space="preserve">Общата констатация е, че от общо 32 мерки, залегнали в Програмата за изпълнение на Стратегията за децентрализация за периода 2016-2019 г. </w:t>
      </w:r>
      <w:r w:rsidRPr="00D01BFE">
        <w:rPr>
          <w:lang w:bidi="bg-BG"/>
        </w:rPr>
        <w:t>са изпълнени</w:t>
      </w:r>
      <w:r w:rsidR="005C55D0" w:rsidRPr="00D01BFE">
        <w:rPr>
          <w:lang w:val="en-GB" w:bidi="bg-BG"/>
        </w:rPr>
        <w:t xml:space="preserve"> </w:t>
      </w:r>
      <w:r w:rsidR="005C55D0" w:rsidRPr="00D01BFE">
        <w:rPr>
          <w:lang w:bidi="bg-BG"/>
        </w:rPr>
        <w:t>дейности по</w:t>
      </w:r>
      <w:r w:rsidRPr="00D01BFE">
        <w:rPr>
          <w:lang w:bidi="bg-BG"/>
        </w:rPr>
        <w:t xml:space="preserve"> </w:t>
      </w:r>
      <w:r w:rsidRPr="002968B0">
        <w:rPr>
          <w:lang w:bidi="bg-BG"/>
        </w:rPr>
        <w:t>21</w:t>
      </w:r>
      <w:r w:rsidR="0022357A">
        <w:rPr>
          <w:lang w:bidi="bg-BG"/>
        </w:rPr>
        <w:t xml:space="preserve"> мерки, </w:t>
      </w:r>
      <w:r w:rsidR="0022357A" w:rsidRPr="00D01BFE">
        <w:rPr>
          <w:lang w:bidi="bg-BG"/>
        </w:rPr>
        <w:t>или 65,6</w:t>
      </w:r>
      <w:r w:rsidRPr="00D01BFE">
        <w:rPr>
          <w:lang w:bidi="bg-BG"/>
        </w:rPr>
        <w:t>%</w:t>
      </w:r>
      <w:r w:rsidR="0022357A" w:rsidRPr="00D01BFE">
        <w:rPr>
          <w:lang w:bidi="bg-BG"/>
        </w:rPr>
        <w:t xml:space="preserve"> от всички мерки, като не</w:t>
      </w:r>
      <w:r w:rsidRPr="00D01BFE">
        <w:rPr>
          <w:lang w:bidi="bg-BG"/>
        </w:rPr>
        <w:t>изпълнени</w:t>
      </w:r>
      <w:r w:rsidR="0022357A" w:rsidRPr="00D01BFE">
        <w:rPr>
          <w:lang w:bidi="bg-BG"/>
        </w:rPr>
        <w:t>те са по обективни причини, например липса на финансови средства</w:t>
      </w:r>
      <w:r w:rsidR="005E7878" w:rsidRPr="00D01BFE">
        <w:rPr>
          <w:lang w:bidi="bg-BG"/>
        </w:rPr>
        <w:t xml:space="preserve"> или </w:t>
      </w:r>
      <w:r w:rsidR="005E7878">
        <w:rPr>
          <w:lang w:bidi="bg-BG"/>
        </w:rPr>
        <w:t>поради отпаднала необходимост</w:t>
      </w:r>
      <w:r w:rsidR="0022357A">
        <w:rPr>
          <w:lang w:bidi="bg-BG"/>
        </w:rPr>
        <w:t xml:space="preserve">. </w:t>
      </w:r>
      <w:r w:rsidRPr="00D01BFE">
        <w:rPr>
          <w:lang w:bidi="bg-BG"/>
        </w:rPr>
        <w:t>Най-висок е процентът на изпълнение на мерките от Стратегическа цел 3 – 80%, следвани от Стратегическа цел 4 – 75%, Стратегическа цел 2 – 62,5% и Стратегическа цел 1 – 54,5%.</w:t>
      </w:r>
    </w:p>
    <w:p w:rsidR="00356CDF" w:rsidRDefault="00D11713" w:rsidP="00356CDF">
      <w:pPr>
        <w:spacing w:before="0" w:after="0"/>
        <w:ind w:firstLine="709"/>
        <w:jc w:val="both"/>
        <w:rPr>
          <w:lang w:bidi="bg-BG"/>
        </w:rPr>
      </w:pPr>
      <w:r w:rsidRPr="00356CDF">
        <w:rPr>
          <w:lang w:bidi="bg-BG"/>
        </w:rPr>
        <w:t xml:space="preserve">Планираните финансови ресурси за изпълнение на целите включени в Програмата за изпълнение на Стратегията за децентрализация за периода 2016-2019 г. са </w:t>
      </w:r>
      <w:r w:rsidR="00356CDF" w:rsidRPr="00356CDF">
        <w:rPr>
          <w:lang w:bidi="bg-BG"/>
        </w:rPr>
        <w:t xml:space="preserve">в размер на </w:t>
      </w:r>
      <w:r w:rsidRPr="00356CDF">
        <w:rPr>
          <w:lang w:bidi="bg-BG"/>
        </w:rPr>
        <w:t xml:space="preserve">1 889 </w:t>
      </w:r>
      <w:proofErr w:type="spellStart"/>
      <w:r w:rsidRPr="00356CDF">
        <w:rPr>
          <w:lang w:bidi="bg-BG"/>
        </w:rPr>
        <w:t>хил.лв</w:t>
      </w:r>
      <w:proofErr w:type="spellEnd"/>
      <w:r w:rsidRPr="00356CDF">
        <w:rPr>
          <w:lang w:bidi="bg-BG"/>
        </w:rPr>
        <w:t>.</w:t>
      </w:r>
      <w:r w:rsidR="00356CDF" w:rsidRPr="00356CDF">
        <w:rPr>
          <w:lang w:bidi="bg-BG"/>
        </w:rPr>
        <w:t xml:space="preserve"> Не е отчетено финансовото изпълнение на по-голямата част от мерките към края на периода. Отчетени са</w:t>
      </w:r>
      <w:r w:rsidR="00EB700C" w:rsidRPr="00356CDF">
        <w:rPr>
          <w:lang w:bidi="bg-BG"/>
        </w:rPr>
        <w:t xml:space="preserve"> финансови</w:t>
      </w:r>
      <w:r w:rsidR="00356CDF" w:rsidRPr="00356CDF">
        <w:rPr>
          <w:lang w:bidi="bg-BG"/>
        </w:rPr>
        <w:t>те</w:t>
      </w:r>
      <w:r w:rsidR="0040041A" w:rsidRPr="00356CDF">
        <w:rPr>
          <w:lang w:bidi="bg-BG"/>
        </w:rPr>
        <w:t xml:space="preserve"> ресурси </w:t>
      </w:r>
      <w:r w:rsidRPr="00356CDF">
        <w:rPr>
          <w:lang w:bidi="bg-BG"/>
        </w:rPr>
        <w:t>при изпълнение на мерките по Стратегическа цел 3</w:t>
      </w:r>
      <w:r w:rsidR="0040041A" w:rsidRPr="00356CDF">
        <w:rPr>
          <w:lang w:bidi="bg-BG"/>
        </w:rPr>
        <w:t xml:space="preserve"> </w:t>
      </w:r>
      <w:r w:rsidR="00356CDF" w:rsidRPr="00356CDF">
        <w:rPr>
          <w:lang w:bidi="bg-BG"/>
        </w:rPr>
        <w:t xml:space="preserve">в размер на </w:t>
      </w:r>
      <w:r w:rsidR="0034271F" w:rsidRPr="00356CDF">
        <w:rPr>
          <w:lang w:bidi="bg-BG"/>
        </w:rPr>
        <w:t>187 747 лв.</w:t>
      </w:r>
      <w:r w:rsidR="0040041A" w:rsidRPr="005E7878">
        <w:rPr>
          <w:lang w:bidi="bg-BG"/>
        </w:rPr>
        <w:t xml:space="preserve"> </w:t>
      </w:r>
      <w:r w:rsidR="004130F7" w:rsidRPr="00356CDF">
        <w:rPr>
          <w:lang w:bidi="bg-BG"/>
        </w:rPr>
        <w:t xml:space="preserve"> и по </w:t>
      </w:r>
      <w:r w:rsidR="0040041A" w:rsidRPr="00356CDF">
        <w:rPr>
          <w:lang w:bidi="bg-BG"/>
        </w:rPr>
        <w:t>С</w:t>
      </w:r>
      <w:r w:rsidR="004130F7" w:rsidRPr="00356CDF">
        <w:rPr>
          <w:lang w:bidi="bg-BG"/>
        </w:rPr>
        <w:t xml:space="preserve">тратегическа цел 4 </w:t>
      </w:r>
      <w:r w:rsidR="00356CDF" w:rsidRPr="00356CDF">
        <w:rPr>
          <w:lang w:bidi="bg-BG"/>
        </w:rPr>
        <w:t>в размер на</w:t>
      </w:r>
      <w:r w:rsidR="004130F7" w:rsidRPr="00356CDF">
        <w:rPr>
          <w:lang w:bidi="bg-BG"/>
        </w:rPr>
        <w:t xml:space="preserve"> 3 314.50 </w:t>
      </w:r>
      <w:proofErr w:type="spellStart"/>
      <w:r w:rsidR="004130F7" w:rsidRPr="00356CDF">
        <w:rPr>
          <w:lang w:bidi="bg-BG"/>
        </w:rPr>
        <w:t>хил.лв</w:t>
      </w:r>
      <w:proofErr w:type="spellEnd"/>
      <w:r w:rsidR="004130F7" w:rsidRPr="00356CDF">
        <w:rPr>
          <w:lang w:bidi="bg-BG"/>
        </w:rPr>
        <w:t>.</w:t>
      </w:r>
    </w:p>
    <w:p w:rsidR="00CC5B95" w:rsidRPr="00356CDF" w:rsidRDefault="00D1033C" w:rsidP="00356CDF">
      <w:pPr>
        <w:spacing w:before="0" w:after="0"/>
        <w:ind w:firstLine="709"/>
        <w:jc w:val="both"/>
        <w:rPr>
          <w:lang w:bidi="bg-BG"/>
        </w:rPr>
      </w:pPr>
      <w:r w:rsidRPr="002968B0">
        <w:rPr>
          <w:lang w:bidi="bg-BG"/>
        </w:rPr>
        <w:t>По предложение на отговорните институции девет от мерките следва да отпаднат или да бъдат преформулирани поради това, че не са актуални или е необходимо да бъдат съобразени с действащата нормативна уредба. По отношение направените предложения за актуализация на приетите цели и приоритети, които да залегнат в Стратегията за децентрализация за останалия период от нейното действие до 2025 г., се подкрепя становището, че са нужни промени с цел фокусиране на усилията върху ограничен брой приоритети, подобряване на междуинституционалната коорд</w:t>
      </w:r>
      <w:r w:rsidR="0081041B">
        <w:rPr>
          <w:lang w:bidi="bg-BG"/>
        </w:rPr>
        <w:t xml:space="preserve">инация и постигане на </w:t>
      </w:r>
      <w:proofErr w:type="spellStart"/>
      <w:r w:rsidR="0081041B">
        <w:rPr>
          <w:lang w:bidi="bg-BG"/>
        </w:rPr>
        <w:t>синергични</w:t>
      </w:r>
      <w:proofErr w:type="spellEnd"/>
      <w:r w:rsidRPr="002968B0">
        <w:rPr>
          <w:lang w:bidi="bg-BG"/>
        </w:rPr>
        <w:t xml:space="preserve"> ефекти. Това от своя страна като цяло би довело до по-ефективно и по-ефикасно провеждане на политиката в областта на децентрализацията на държавното управление.</w:t>
      </w:r>
      <w:r w:rsidR="009B54FB">
        <w:rPr>
          <w:lang w:bidi="bg-BG"/>
        </w:rPr>
        <w:t xml:space="preserve"> Така например</w:t>
      </w:r>
      <w:r w:rsidR="00CC5B95">
        <w:rPr>
          <w:lang w:bidi="bg-BG"/>
        </w:rPr>
        <w:t>, Националното сдружение на общините</w:t>
      </w:r>
      <w:r w:rsidR="00591100">
        <w:rPr>
          <w:lang w:bidi="bg-BG"/>
        </w:rPr>
        <w:t xml:space="preserve"> в Република България</w:t>
      </w:r>
      <w:r w:rsidR="00CC5B95">
        <w:rPr>
          <w:lang w:bidi="bg-BG"/>
        </w:rPr>
        <w:t xml:space="preserve"> е предложило </w:t>
      </w:r>
      <w:r w:rsidR="00591100" w:rsidRPr="00591100">
        <w:rPr>
          <w:lang w:bidi="bg-BG"/>
        </w:rPr>
        <w:t>по Стратегическа цел 4 „Повишаване влиянието на регионалните институции за провеждане на координирана политика за регионално развитие“</w:t>
      </w:r>
      <w:r w:rsidR="00591100">
        <w:rPr>
          <w:lang w:bidi="bg-BG"/>
        </w:rPr>
        <w:t xml:space="preserve"> </w:t>
      </w:r>
      <w:r w:rsidR="00CC5B95">
        <w:rPr>
          <w:lang w:bidi="bg-BG"/>
        </w:rPr>
        <w:t xml:space="preserve">да отпадне </w:t>
      </w:r>
      <w:r w:rsidR="00CC5B95" w:rsidRPr="00CC5B95">
        <w:rPr>
          <w:lang w:bidi="bg-BG"/>
        </w:rPr>
        <w:t>Приоритет</w:t>
      </w:r>
      <w:r w:rsidR="00CC5B95" w:rsidRPr="005E7878">
        <w:rPr>
          <w:lang w:bidi="bg-BG"/>
        </w:rPr>
        <w:t xml:space="preserve"> 3 </w:t>
      </w:r>
      <w:r w:rsidR="007E1FCD">
        <w:rPr>
          <w:lang w:bidi="bg-BG"/>
        </w:rPr>
        <w:t>„</w:t>
      </w:r>
      <w:r w:rsidR="00CC5B95" w:rsidRPr="005E7878">
        <w:rPr>
          <w:i/>
          <w:lang w:bidi="bg-BG"/>
        </w:rPr>
        <w:t>Проучване на възможностите за създаване на втор</w:t>
      </w:r>
      <w:r w:rsidR="007E1FCD" w:rsidRPr="005E7878">
        <w:rPr>
          <w:i/>
          <w:lang w:bidi="bg-BG"/>
        </w:rPr>
        <w:t>о ниво на местно самоуправление”</w:t>
      </w:r>
      <w:r w:rsidR="007E1FCD">
        <w:rPr>
          <w:lang w:bidi="bg-BG"/>
        </w:rPr>
        <w:t xml:space="preserve"> и предвидените в него 2 мерки</w:t>
      </w:r>
      <w:r w:rsidR="00591100">
        <w:rPr>
          <w:lang w:bidi="bg-BG"/>
        </w:rPr>
        <w:t>.</w:t>
      </w:r>
      <w:r w:rsidR="007E1FCD">
        <w:rPr>
          <w:lang w:bidi="bg-BG"/>
        </w:rPr>
        <w:t xml:space="preserve"> </w:t>
      </w:r>
      <w:r w:rsidR="00591100">
        <w:rPr>
          <w:lang w:bidi="bg-BG"/>
        </w:rPr>
        <w:t>Мотивите са</w:t>
      </w:r>
      <w:r w:rsidR="007E1FCD">
        <w:rPr>
          <w:lang w:bidi="bg-BG"/>
        </w:rPr>
        <w:t>, че мярката не е реалистична като изпълнение и едва ли ще доведе до конкретни управленски решения, както и че в програмите на парламентарно представените политически сили не се предвижда създаване на второ ниво на самоуправление в Република</w:t>
      </w:r>
      <w:r w:rsidR="004837F6">
        <w:rPr>
          <w:lang w:bidi="bg-BG"/>
        </w:rPr>
        <w:t xml:space="preserve"> България. В</w:t>
      </w:r>
      <w:r w:rsidR="007E1FCD">
        <w:rPr>
          <w:lang w:bidi="bg-BG"/>
        </w:rPr>
        <w:t xml:space="preserve"> практиката на европейските страни през последното десетилетие се наблюдават против</w:t>
      </w:r>
      <w:r w:rsidR="005E7878">
        <w:rPr>
          <w:lang w:bidi="bg-BG"/>
        </w:rPr>
        <w:t>ополож</w:t>
      </w:r>
      <w:r w:rsidR="007E1FCD">
        <w:rPr>
          <w:lang w:bidi="bg-BG"/>
        </w:rPr>
        <w:t>ни</w:t>
      </w:r>
      <w:r w:rsidR="007E1FCD" w:rsidRPr="007E1FCD">
        <w:t xml:space="preserve"> </w:t>
      </w:r>
      <w:r w:rsidR="007E1FCD">
        <w:rPr>
          <w:lang w:bidi="bg-BG"/>
        </w:rPr>
        <w:t>тенденции - съкращаване на междинни нива на самоуправление.</w:t>
      </w:r>
    </w:p>
    <w:p w:rsidR="00025A61" w:rsidRPr="00025A61" w:rsidRDefault="00025A61" w:rsidP="00C773FC">
      <w:pPr>
        <w:spacing w:before="0" w:after="0"/>
        <w:ind w:firstLine="709"/>
        <w:jc w:val="both"/>
        <w:rPr>
          <w:lang w:bidi="bg-BG"/>
        </w:rPr>
      </w:pPr>
      <w:r>
        <w:rPr>
          <w:lang w:bidi="bg-BG"/>
        </w:rPr>
        <w:t>МРРБ също</w:t>
      </w:r>
      <w:r w:rsidRPr="00025A61">
        <w:rPr>
          <w:lang w:bidi="bg-BG"/>
        </w:rPr>
        <w:t xml:space="preserve"> предлага актуализация на приоритетите и мерките по Стратегическа цел 4</w:t>
      </w:r>
      <w:r>
        <w:rPr>
          <w:lang w:bidi="bg-BG"/>
        </w:rPr>
        <w:t xml:space="preserve">, </w:t>
      </w:r>
      <w:r w:rsidRPr="00025A61">
        <w:rPr>
          <w:lang w:bidi="bg-BG"/>
        </w:rPr>
        <w:t>както следва: Приоритет 1 „</w:t>
      </w:r>
      <w:r w:rsidRPr="00025A61">
        <w:rPr>
          <w:i/>
          <w:lang w:bidi="bg-BG"/>
        </w:rPr>
        <w:t>Създаване на деконцентрирани институции на регионално равнище“</w:t>
      </w:r>
      <w:r w:rsidRPr="00025A61">
        <w:rPr>
          <w:lang w:bidi="bg-BG"/>
        </w:rPr>
        <w:t xml:space="preserve"> да отпадне</w:t>
      </w:r>
      <w:r w:rsidRPr="005E7878">
        <w:rPr>
          <w:lang w:bidi="bg-BG"/>
        </w:rPr>
        <w:t xml:space="preserve"> </w:t>
      </w:r>
      <w:r w:rsidRPr="00025A61">
        <w:rPr>
          <w:lang w:bidi="bg-BG"/>
        </w:rPr>
        <w:t>или да се обедини с Приоритет 2 „</w:t>
      </w:r>
      <w:r w:rsidRPr="00025A61">
        <w:rPr>
          <w:i/>
          <w:lang w:bidi="bg-BG"/>
        </w:rPr>
        <w:t>Укрепване капацитета на регионалните институции и разширяване сферата на тяхната компетентност“</w:t>
      </w:r>
      <w:r>
        <w:rPr>
          <w:lang w:bidi="bg-BG"/>
        </w:rPr>
        <w:t>, като се формулира нов приоритет</w:t>
      </w:r>
      <w:r w:rsidRPr="00025A61">
        <w:rPr>
          <w:lang w:bidi="bg-BG"/>
        </w:rPr>
        <w:t xml:space="preserve">: „Укрепване капацитета на регионалните институции и разширяване сферата на тяхната компетентност с цел продължаване на процеса на </w:t>
      </w:r>
      <w:proofErr w:type="spellStart"/>
      <w:r w:rsidRPr="00025A61">
        <w:rPr>
          <w:lang w:bidi="bg-BG"/>
        </w:rPr>
        <w:t>деконцентрация</w:t>
      </w:r>
      <w:proofErr w:type="spellEnd"/>
      <w:r w:rsidRPr="00025A61">
        <w:rPr>
          <w:lang w:bidi="bg-BG"/>
        </w:rPr>
        <w:t>“</w:t>
      </w:r>
      <w:r>
        <w:rPr>
          <w:lang w:bidi="bg-BG"/>
        </w:rPr>
        <w:t>, включващ следните мерки</w:t>
      </w:r>
      <w:r w:rsidRPr="00025A61">
        <w:rPr>
          <w:lang w:bidi="bg-BG"/>
        </w:rPr>
        <w:t>:</w:t>
      </w:r>
    </w:p>
    <w:p w:rsidR="00025A61" w:rsidRPr="00A2251D" w:rsidRDefault="00025A61" w:rsidP="00C773FC">
      <w:pPr>
        <w:spacing w:before="0" w:after="0"/>
        <w:ind w:firstLine="709"/>
        <w:jc w:val="both"/>
        <w:rPr>
          <w:i/>
          <w:lang w:bidi="bg-BG"/>
        </w:rPr>
      </w:pPr>
      <w:r w:rsidRPr="00A2251D">
        <w:rPr>
          <w:i/>
          <w:lang w:bidi="bg-BG"/>
        </w:rPr>
        <w:t>1.Предоставяне правомощия на регионалните институции да управляват средства по програмите на ЕС след 2020 г.;</w:t>
      </w:r>
    </w:p>
    <w:p w:rsidR="00025A61" w:rsidRPr="00A2251D" w:rsidRDefault="00025A61" w:rsidP="001E6D10">
      <w:pPr>
        <w:spacing w:before="0" w:after="0"/>
        <w:ind w:firstLine="709"/>
        <w:jc w:val="both"/>
        <w:rPr>
          <w:i/>
          <w:lang w:bidi="bg-BG"/>
        </w:rPr>
      </w:pPr>
      <w:r w:rsidRPr="00A2251D">
        <w:rPr>
          <w:i/>
          <w:lang w:bidi="bg-BG"/>
        </w:rPr>
        <w:t>2. Повишаване на капацитета на регионалните институции за провеждане на регионална политика;</w:t>
      </w:r>
    </w:p>
    <w:p w:rsidR="00025A61" w:rsidRPr="00A2251D" w:rsidRDefault="00025A61" w:rsidP="00C773FC">
      <w:pPr>
        <w:spacing w:before="0" w:after="0"/>
        <w:ind w:firstLine="709"/>
        <w:jc w:val="both"/>
        <w:rPr>
          <w:i/>
          <w:lang w:bidi="bg-BG"/>
        </w:rPr>
      </w:pPr>
      <w:r w:rsidRPr="00A2251D">
        <w:rPr>
          <w:i/>
          <w:lang w:bidi="bg-BG"/>
        </w:rPr>
        <w:t>3. Изпълнение на Пътна карта за реализиране на промени в политиката за регионално развитие.</w:t>
      </w:r>
    </w:p>
    <w:p w:rsidR="00D1033C" w:rsidRPr="002968B0" w:rsidRDefault="00D1033C" w:rsidP="00680314">
      <w:pPr>
        <w:spacing w:before="0" w:after="0"/>
        <w:ind w:firstLine="709"/>
        <w:jc w:val="both"/>
        <w:rPr>
          <w:lang w:bidi="bg-BG"/>
        </w:rPr>
      </w:pPr>
      <w:r w:rsidRPr="002968B0">
        <w:rPr>
          <w:lang w:bidi="bg-BG"/>
        </w:rPr>
        <w:t>Важен приоритет, към който трябва да бъдат насочени повече усилия</w:t>
      </w:r>
      <w:r w:rsidR="00D64F2C">
        <w:rPr>
          <w:lang w:bidi="bg-BG"/>
        </w:rPr>
        <w:t>,</w:t>
      </w:r>
      <w:r w:rsidRPr="002968B0">
        <w:rPr>
          <w:lang w:bidi="bg-BG"/>
        </w:rPr>
        <w:t xml:space="preserve"> е финансовата децентрализация, като подходящите реформи в тази област могат да насърчат икономическия растеж, инвестициите в работни места и доброто демократично управление на местно ниво. Отчитайки нуждата от засилване на реформите и разработване на оптимален модел на фискална децентрализация в България, МРРБ </w:t>
      </w:r>
      <w:r w:rsidR="00D64F2C">
        <w:rPr>
          <w:lang w:bidi="bg-BG"/>
        </w:rPr>
        <w:t xml:space="preserve"> разработи</w:t>
      </w:r>
      <w:r w:rsidRPr="002968B0">
        <w:rPr>
          <w:lang w:bidi="bg-BG"/>
        </w:rPr>
        <w:t xml:space="preserve"> предложение в партньорство с Националното сдружение на общините в Република България за изграждане на устойчива дългосрочна стратегическа рамка на бюджетната и данъчната политика, позволяваща на местните власти ефикасно планиране на инвестиции в икономически растеж и добро управление на местно ниво. </w:t>
      </w:r>
      <w:r w:rsidR="00D64F2C">
        <w:rPr>
          <w:lang w:bidi="bg-BG"/>
        </w:rPr>
        <w:t xml:space="preserve">Проектното предложение обаче не получи финансиране по </w:t>
      </w:r>
      <w:r w:rsidR="00D64F2C" w:rsidRPr="00D64F2C">
        <w:rPr>
          <w:lang w:bidi="bg-BG"/>
        </w:rPr>
        <w:t>Програмата на Европейския съюз за подкрепа на структурни реформи</w:t>
      </w:r>
      <w:r w:rsidR="00D64F2C">
        <w:rPr>
          <w:lang w:bidi="bg-BG"/>
        </w:rPr>
        <w:t xml:space="preserve"> </w:t>
      </w:r>
      <w:r w:rsidR="00D64F2C" w:rsidRPr="00D64F2C">
        <w:rPr>
          <w:lang w:bidi="bg-BG"/>
        </w:rPr>
        <w:t>2017-2020</w:t>
      </w:r>
      <w:r w:rsidR="00D64F2C">
        <w:rPr>
          <w:lang w:bidi="bg-BG"/>
        </w:rPr>
        <w:t xml:space="preserve">, независимо че беше одобрено за финансиране на национално ниво от Министерския съвет. </w:t>
      </w:r>
      <w:r w:rsidRPr="002968B0">
        <w:rPr>
          <w:lang w:bidi="bg-BG"/>
        </w:rPr>
        <w:t>Друго очертаващо се като приоритетно направление на децентрализацията е общинското сътрудничество и многостепенното управление, гарантиращи взаимодействието на всички управленски и административни равнища при</w:t>
      </w:r>
      <w:r w:rsidRPr="002968B0">
        <w:t xml:space="preserve"> </w:t>
      </w:r>
      <w:r w:rsidRPr="002968B0">
        <w:rPr>
          <w:lang w:bidi="bg-BG"/>
        </w:rPr>
        <w:t>упражняване на правомощията и при вземане на решения за постигане на балансирано и устойчиво местно и регионално развитие.</w:t>
      </w:r>
    </w:p>
    <w:p w:rsidR="00133DA0" w:rsidRDefault="0075052A" w:rsidP="00680314">
      <w:pPr>
        <w:spacing w:before="0" w:after="0"/>
        <w:ind w:firstLine="709"/>
        <w:jc w:val="both"/>
        <w:rPr>
          <w:lang w:bidi="bg-BG"/>
        </w:rPr>
      </w:pPr>
      <w:r>
        <w:rPr>
          <w:lang w:bidi="bg-BG"/>
        </w:rPr>
        <w:t>Общият извод, който се налага е</w:t>
      </w:r>
      <w:r w:rsidR="00133DA0">
        <w:rPr>
          <w:lang w:bidi="bg-BG"/>
        </w:rPr>
        <w:t xml:space="preserve">, че </w:t>
      </w:r>
      <w:r w:rsidR="00D1033C" w:rsidRPr="002968B0">
        <w:rPr>
          <w:lang w:bidi="bg-BG"/>
        </w:rPr>
        <w:t xml:space="preserve">Стратегията за децентрализация трябва да интегрира ясно определени секторни политики и цели, които </w:t>
      </w:r>
      <w:r w:rsidR="00D64F2C">
        <w:rPr>
          <w:lang w:bidi="bg-BG"/>
        </w:rPr>
        <w:t xml:space="preserve">реално </w:t>
      </w:r>
      <w:r w:rsidR="00D1033C" w:rsidRPr="002968B0">
        <w:rPr>
          <w:lang w:bidi="bg-BG"/>
        </w:rPr>
        <w:t xml:space="preserve">допринасят за </w:t>
      </w:r>
      <w:r w:rsidR="00D64F2C">
        <w:rPr>
          <w:lang w:bidi="bg-BG"/>
        </w:rPr>
        <w:t xml:space="preserve">постигане на </w:t>
      </w:r>
      <w:r w:rsidR="00D1033C" w:rsidRPr="002968B0">
        <w:rPr>
          <w:lang w:bidi="bg-BG"/>
        </w:rPr>
        <w:t>оптим</w:t>
      </w:r>
      <w:r w:rsidR="00C91F1C">
        <w:rPr>
          <w:lang w:bidi="bg-BG"/>
        </w:rPr>
        <w:t xml:space="preserve">ална и балансирана </w:t>
      </w:r>
      <w:r w:rsidR="001E6D10">
        <w:rPr>
          <w:lang w:bidi="bg-BG"/>
        </w:rPr>
        <w:t>децентрализация,</w:t>
      </w:r>
      <w:r w:rsidR="00133DA0">
        <w:rPr>
          <w:lang w:bidi="bg-BG"/>
        </w:rPr>
        <w:t xml:space="preserve"> както и</w:t>
      </w:r>
      <w:r w:rsidR="001E6D10">
        <w:rPr>
          <w:lang w:bidi="bg-BG"/>
        </w:rPr>
        <w:t xml:space="preserve"> за насърчаване </w:t>
      </w:r>
      <w:r>
        <w:rPr>
          <w:lang w:bidi="bg-BG"/>
        </w:rPr>
        <w:t xml:space="preserve">на </w:t>
      </w:r>
      <w:r w:rsidR="00D1033C" w:rsidRPr="002968B0">
        <w:rPr>
          <w:lang w:bidi="bg-BG"/>
        </w:rPr>
        <w:t xml:space="preserve">местните </w:t>
      </w:r>
      <w:r w:rsidR="001E6D10">
        <w:rPr>
          <w:lang w:bidi="bg-BG"/>
        </w:rPr>
        <w:t xml:space="preserve">власти да провеждат политики </w:t>
      </w:r>
      <w:r w:rsidR="00D1033C" w:rsidRPr="002968B0">
        <w:rPr>
          <w:lang w:bidi="bg-BG"/>
        </w:rPr>
        <w:t>за устойчиво икономическо и социално развитие. В контекста на новите предизвикателства, свъ</w:t>
      </w:r>
      <w:r w:rsidR="001E6D10">
        <w:rPr>
          <w:lang w:bidi="bg-BG"/>
        </w:rPr>
        <w:t xml:space="preserve">рзани с европейската интеграция </w:t>
      </w:r>
      <w:r w:rsidR="00D1033C" w:rsidRPr="002968B0">
        <w:rPr>
          <w:lang w:bidi="bg-BG"/>
        </w:rPr>
        <w:t xml:space="preserve">и глобалното партньорство, </w:t>
      </w:r>
      <w:r w:rsidR="00391D39">
        <w:rPr>
          <w:lang w:bidi="bg-BG"/>
        </w:rPr>
        <w:t xml:space="preserve">конкурентоспособността, </w:t>
      </w:r>
      <w:r w:rsidR="00D1033C" w:rsidRPr="002968B0">
        <w:rPr>
          <w:lang w:bidi="bg-BG"/>
        </w:rPr>
        <w:t>устойчивото развитие</w:t>
      </w:r>
      <w:r w:rsidR="00391D39">
        <w:rPr>
          <w:lang w:bidi="bg-BG"/>
        </w:rPr>
        <w:t xml:space="preserve"> </w:t>
      </w:r>
      <w:r w:rsidR="001E6D10">
        <w:rPr>
          <w:lang w:bidi="bg-BG"/>
        </w:rPr>
        <w:t>и управление</w:t>
      </w:r>
      <w:r w:rsidR="00D64F2C">
        <w:rPr>
          <w:lang w:bidi="bg-BG"/>
        </w:rPr>
        <w:t>то</w:t>
      </w:r>
      <w:r w:rsidR="001E6D10">
        <w:rPr>
          <w:lang w:bidi="bg-BG"/>
        </w:rPr>
        <w:t xml:space="preserve"> на кризи, </w:t>
      </w:r>
      <w:r w:rsidR="00D1033C" w:rsidRPr="002968B0">
        <w:rPr>
          <w:lang w:bidi="bg-BG"/>
        </w:rPr>
        <w:t>е необходим нов подход и инструментариум за осигуряване на ефективност и ефикасност на процеса на децентрализация на управлението на страната.</w:t>
      </w:r>
    </w:p>
    <w:p w:rsidR="00172377" w:rsidRPr="00D01BFE" w:rsidRDefault="00D1033C" w:rsidP="00D01BFE">
      <w:pPr>
        <w:spacing w:before="0" w:after="0"/>
        <w:ind w:firstLine="709"/>
        <w:jc w:val="both"/>
        <w:rPr>
          <w:lang w:val="ru-RU"/>
        </w:rPr>
      </w:pPr>
      <w:r w:rsidRPr="002968B0">
        <w:rPr>
          <w:lang w:bidi="bg-BG"/>
        </w:rPr>
        <w:t xml:space="preserve"> </w:t>
      </w:r>
    </w:p>
    <w:p w:rsidR="00AE51ED" w:rsidRPr="00D01BFE" w:rsidRDefault="001B6FCF" w:rsidP="001B6FCF">
      <w:pPr>
        <w:ind w:firstLine="0"/>
        <w:jc w:val="both"/>
        <w:rPr>
          <w:rFonts w:eastAsia="Calibri"/>
          <w:b/>
          <w:lang w:eastAsia="en-US"/>
        </w:rPr>
      </w:pPr>
      <w:r w:rsidRPr="00D01BFE">
        <w:rPr>
          <w:b/>
        </w:rPr>
        <w:t>Институционална ангажиран</w:t>
      </w:r>
      <w:r w:rsidR="00026CD5" w:rsidRPr="00D01BFE">
        <w:rPr>
          <w:b/>
        </w:rPr>
        <w:t xml:space="preserve">ост за изпълнение </w:t>
      </w:r>
      <w:r w:rsidRPr="00D01BFE">
        <w:rPr>
          <w:b/>
        </w:rPr>
        <w:t xml:space="preserve">на </w:t>
      </w:r>
      <w:r w:rsidRPr="00D01BFE">
        <w:rPr>
          <w:rFonts w:eastAsia="Calibri"/>
          <w:b/>
          <w:lang w:eastAsia="en-US"/>
        </w:rPr>
        <w:t>Стратегията за децентрализация 2016-2025 г. и Програмата за изпълнение на Стратегията за децентрализация за периода 2016-2019 г.</w:t>
      </w:r>
    </w:p>
    <w:p w:rsidR="00266989" w:rsidRPr="00D01BFE" w:rsidRDefault="00507EE0" w:rsidP="001B6FCF">
      <w:pPr>
        <w:ind w:firstLine="0"/>
        <w:jc w:val="both"/>
      </w:pPr>
      <w:r w:rsidRPr="00D01BFE">
        <w:t xml:space="preserve">От приемането на </w:t>
      </w:r>
      <w:r w:rsidR="00E2319E" w:rsidRPr="00D01BFE">
        <w:t xml:space="preserve">Стратегията за децентрализация 2016-2025 г. и Програмата за изпълнение на Стратегията за децентрализация за периода 2016-2019 г. през 2016 г. до </w:t>
      </w:r>
      <w:r w:rsidR="004A68E9" w:rsidRPr="00D01BFE">
        <w:t xml:space="preserve">средата на </w:t>
      </w:r>
      <w:r w:rsidR="00E2319E" w:rsidRPr="00D01BFE">
        <w:t xml:space="preserve"> 2020 г. </w:t>
      </w:r>
      <w:r w:rsidR="00E9006E" w:rsidRPr="00D01BFE">
        <w:t xml:space="preserve">не е провеждано заседание на </w:t>
      </w:r>
      <w:r w:rsidR="00E2319E" w:rsidRPr="00D01BFE">
        <w:t>СДДУ</w:t>
      </w:r>
      <w:r w:rsidR="00E9006E" w:rsidRPr="00D01BFE">
        <w:t>.</w:t>
      </w:r>
    </w:p>
    <w:p w:rsidR="00AE51ED" w:rsidRPr="009E3EE2" w:rsidRDefault="00026CD5" w:rsidP="009E3EE2">
      <w:pPr>
        <w:spacing w:before="0" w:after="0"/>
        <w:contextualSpacing/>
        <w:jc w:val="both"/>
        <w:rPr>
          <w:color w:val="C00000"/>
          <w:lang w:bidi="bg-BG"/>
        </w:rPr>
      </w:pPr>
      <w:r w:rsidRPr="00D01BFE">
        <w:t xml:space="preserve">На 26.08.2020 г. </w:t>
      </w:r>
      <w:r w:rsidR="00AB3D98" w:rsidRPr="00D01BFE">
        <w:t xml:space="preserve">в </w:t>
      </w:r>
      <w:proofErr w:type="spellStart"/>
      <w:r w:rsidR="00AB3D98" w:rsidRPr="00D01BFE">
        <w:t>Министeрството</w:t>
      </w:r>
      <w:proofErr w:type="spellEnd"/>
      <w:r w:rsidR="00AB3D98" w:rsidRPr="00D01BFE">
        <w:t xml:space="preserve"> на регионалното развитие и благоустройството б</w:t>
      </w:r>
      <w:r w:rsidRPr="00D01BFE">
        <w:t xml:space="preserve">еше проведено </w:t>
      </w:r>
      <w:r w:rsidR="009661E4" w:rsidRPr="00D01BFE">
        <w:t>заседание на Съвета по децентрализация на държавното управление</w:t>
      </w:r>
      <w:r w:rsidR="00EF2BF4" w:rsidRPr="00D01BFE">
        <w:t>, на което беше представен и обсъден</w:t>
      </w:r>
      <w:r w:rsidR="00EF2BF4" w:rsidRPr="00D01BFE">
        <w:rPr>
          <w:lang w:bidi="bg-BG"/>
        </w:rPr>
        <w:t xml:space="preserve"> Доклад относно изпълнение на Стратегията за децентрализация 2016-2025 г. и развитие на процеса на децентрализация през периода 2016-2019 г.</w:t>
      </w:r>
      <w:r w:rsidR="005B05B7" w:rsidRPr="00D01BFE">
        <w:rPr>
          <w:lang w:bidi="bg-BG"/>
        </w:rPr>
        <w:t>; П</w:t>
      </w:r>
      <w:r w:rsidR="00395E11" w:rsidRPr="00D01BFE">
        <w:rPr>
          <w:rFonts w:eastAsia="Calibri"/>
          <w:lang w:eastAsia="en-US"/>
        </w:rPr>
        <w:t xml:space="preserve">ерспективи </w:t>
      </w:r>
      <w:r w:rsidR="00395E11" w:rsidRPr="00395E11">
        <w:rPr>
          <w:rFonts w:eastAsia="Calibri"/>
          <w:lang w:eastAsia="en-US"/>
        </w:rPr>
        <w:t xml:space="preserve">и предизвикателства пред децентрализацията в България в средносрочен и дългосрочен план – предложения за актуализация на Стратегията след 2020 г.; Децентрализацията като шанс за социално-икономическото възстановяване на общините в </w:t>
      </w:r>
      <w:r w:rsidR="005B05B7">
        <w:rPr>
          <w:rFonts w:eastAsia="Calibri"/>
          <w:lang w:eastAsia="en-US"/>
        </w:rPr>
        <w:t xml:space="preserve">условията на </w:t>
      </w:r>
      <w:proofErr w:type="spellStart"/>
      <w:r w:rsidR="005B05B7">
        <w:rPr>
          <w:rFonts w:eastAsia="Calibri"/>
          <w:lang w:eastAsia="en-US"/>
        </w:rPr>
        <w:t>пандемичната</w:t>
      </w:r>
      <w:proofErr w:type="spellEnd"/>
      <w:r w:rsidR="005B05B7">
        <w:rPr>
          <w:rFonts w:eastAsia="Calibri"/>
          <w:lang w:eastAsia="en-US"/>
        </w:rPr>
        <w:t xml:space="preserve"> криза.</w:t>
      </w:r>
      <w:r w:rsidR="00EF2BF4" w:rsidRPr="00545B8F">
        <w:rPr>
          <w:color w:val="C00000"/>
          <w:lang w:bidi="bg-BG"/>
        </w:rPr>
        <w:t xml:space="preserve"> </w:t>
      </w:r>
    </w:p>
    <w:p w:rsidR="005A147E" w:rsidRDefault="00172377" w:rsidP="00D01BFE">
      <w:pPr>
        <w:ind w:left="5245" w:firstLine="0"/>
        <w:rPr>
          <w:b/>
          <w:lang w:val="ru-RU"/>
        </w:rPr>
      </w:pPr>
      <w:r w:rsidRPr="00172377">
        <w:rPr>
          <w:b/>
          <w:lang w:val="ru-RU"/>
        </w:rPr>
        <w:t>Секретариат на Съвета по децентрализация на държавното управление</w:t>
      </w:r>
      <w:r w:rsidR="005A147E">
        <w:rPr>
          <w:b/>
          <w:lang w:val="ru-RU"/>
        </w:rPr>
        <w:t xml:space="preserve">, </w:t>
      </w:r>
    </w:p>
    <w:p w:rsidR="00172377" w:rsidRPr="00D01BFE" w:rsidRDefault="005A147E" w:rsidP="00D01BFE">
      <w:pPr>
        <w:ind w:left="5245" w:firstLine="0"/>
        <w:rPr>
          <w:b/>
          <w:i/>
          <w:lang w:val="ru-RU"/>
        </w:rPr>
      </w:pPr>
      <w:r w:rsidRPr="00D01BFE">
        <w:rPr>
          <w:b/>
          <w:i/>
          <w:lang w:val="ru-RU"/>
        </w:rPr>
        <w:t>Министерство на регионалното развитие и благоустройството</w:t>
      </w:r>
    </w:p>
    <w:p w:rsidR="009B6243" w:rsidRPr="00290E1D" w:rsidRDefault="009B6243" w:rsidP="00E864BB">
      <w:pPr>
        <w:ind w:firstLine="0"/>
        <w:rPr>
          <w:lang w:val="ru-RU"/>
        </w:rPr>
      </w:pPr>
    </w:p>
    <w:sectPr w:rsidR="009B6243" w:rsidRPr="00290E1D" w:rsidSect="009E3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4" w:right="1274" w:bottom="567" w:left="1418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BE" w:rsidRDefault="001B2BBE">
      <w:r>
        <w:separator/>
      </w:r>
    </w:p>
  </w:endnote>
  <w:endnote w:type="continuationSeparator" w:id="0">
    <w:p w:rsidR="001B2BBE" w:rsidRDefault="001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FE" w:rsidRDefault="00D0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8531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61EE" w:rsidRPr="00EC61EE" w:rsidRDefault="00EC61EE" w:rsidP="00DF1A3A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C61EE">
              <w:rPr>
                <w:sz w:val="20"/>
                <w:szCs w:val="20"/>
              </w:rPr>
              <w:t xml:space="preserve"> </w:t>
            </w:r>
          </w:p>
          <w:p w:rsidR="00120D09" w:rsidRDefault="00120D09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3EE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 w:rsidR="00D01BFE">
              <w:t xml:space="preserve"> </w:t>
            </w:r>
            <w:r w:rsidR="00D01BFE" w:rsidRPr="00C27A8D">
              <w:rPr>
                <w:b/>
              </w:rPr>
              <w:t>от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3EE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82E20" w:rsidRDefault="00682E20" w:rsidP="00120D09">
    <w:pPr>
      <w:pStyle w:val="Footer"/>
      <w:ind w:firstLine="0"/>
    </w:pPr>
  </w:p>
  <w:p w:rsidR="0050195C" w:rsidRDefault="0050195C"/>
  <w:p w:rsidR="0050195C" w:rsidRDefault="005019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FE" w:rsidRPr="00EC61EE" w:rsidRDefault="004D67CA" w:rsidP="00EC61EE">
    <w:pPr>
      <w:pStyle w:val="Footer"/>
    </w:pPr>
    <w:r w:rsidRPr="00EC61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BE" w:rsidRDefault="001B2BBE">
      <w:r>
        <w:separator/>
      </w:r>
    </w:p>
  </w:footnote>
  <w:footnote w:type="continuationSeparator" w:id="0">
    <w:p w:rsidR="001B2BBE" w:rsidRDefault="001B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FE" w:rsidRDefault="00D0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20" w:rsidRDefault="00682E20" w:rsidP="00682E2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F3" w:rsidRPr="00AA6CF3" w:rsidRDefault="00AA6CF3" w:rsidP="00AA6CF3">
    <w:pPr>
      <w:jc w:val="right"/>
      <w:rPr>
        <w:b/>
        <w:u w:val="single"/>
      </w:rPr>
    </w:pPr>
  </w:p>
  <w:p w:rsidR="0035704D" w:rsidRPr="005E258F" w:rsidRDefault="0035704D" w:rsidP="005E258F">
    <w:pPr>
      <w:ind w:firstLine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EB3"/>
    <w:multiLevelType w:val="hybridMultilevel"/>
    <w:tmpl w:val="1E9471F8"/>
    <w:lvl w:ilvl="0" w:tplc="D4881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9B7"/>
    <w:multiLevelType w:val="hybridMultilevel"/>
    <w:tmpl w:val="638C766A"/>
    <w:lvl w:ilvl="0" w:tplc="0402000D">
      <w:start w:val="1"/>
      <w:numFmt w:val="bullet"/>
      <w:lvlText w:val=""/>
      <w:lvlJc w:val="left"/>
      <w:pPr>
        <w:ind w:left="5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0E5C20AF"/>
    <w:multiLevelType w:val="hybridMultilevel"/>
    <w:tmpl w:val="38349E12"/>
    <w:lvl w:ilvl="0" w:tplc="393A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F3507"/>
    <w:multiLevelType w:val="hybridMultilevel"/>
    <w:tmpl w:val="2EDC3DF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19D747F"/>
    <w:multiLevelType w:val="hybridMultilevel"/>
    <w:tmpl w:val="E64A2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D41D3D"/>
    <w:multiLevelType w:val="multilevel"/>
    <w:tmpl w:val="A8E6E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772E92"/>
    <w:multiLevelType w:val="hybridMultilevel"/>
    <w:tmpl w:val="602CD2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24"/>
    <w:rsid w:val="00003E42"/>
    <w:rsid w:val="00011EAB"/>
    <w:rsid w:val="00015F1B"/>
    <w:rsid w:val="00017451"/>
    <w:rsid w:val="00023F0A"/>
    <w:rsid w:val="00025A61"/>
    <w:rsid w:val="0002688C"/>
    <w:rsid w:val="00026CD5"/>
    <w:rsid w:val="00032511"/>
    <w:rsid w:val="000412E9"/>
    <w:rsid w:val="00041C80"/>
    <w:rsid w:val="0005074D"/>
    <w:rsid w:val="00054F18"/>
    <w:rsid w:val="0006125F"/>
    <w:rsid w:val="000620AC"/>
    <w:rsid w:val="00062BFA"/>
    <w:rsid w:val="00066AD4"/>
    <w:rsid w:val="000728C4"/>
    <w:rsid w:val="000765A7"/>
    <w:rsid w:val="00081488"/>
    <w:rsid w:val="0008513C"/>
    <w:rsid w:val="00085464"/>
    <w:rsid w:val="0008612E"/>
    <w:rsid w:val="000901A8"/>
    <w:rsid w:val="000A5F38"/>
    <w:rsid w:val="000B7999"/>
    <w:rsid w:val="000C778F"/>
    <w:rsid w:val="000D3553"/>
    <w:rsid w:val="000D6F50"/>
    <w:rsid w:val="000E4E46"/>
    <w:rsid w:val="000E536C"/>
    <w:rsid w:val="000F104E"/>
    <w:rsid w:val="00102E7B"/>
    <w:rsid w:val="001159D9"/>
    <w:rsid w:val="00116E16"/>
    <w:rsid w:val="00120D09"/>
    <w:rsid w:val="00122688"/>
    <w:rsid w:val="00127EED"/>
    <w:rsid w:val="00133DA0"/>
    <w:rsid w:val="00145E77"/>
    <w:rsid w:val="00146ABA"/>
    <w:rsid w:val="001513D5"/>
    <w:rsid w:val="00152A5F"/>
    <w:rsid w:val="001639C5"/>
    <w:rsid w:val="00164181"/>
    <w:rsid w:val="00166203"/>
    <w:rsid w:val="00172377"/>
    <w:rsid w:val="001731E4"/>
    <w:rsid w:val="0018349F"/>
    <w:rsid w:val="00190135"/>
    <w:rsid w:val="00191C2A"/>
    <w:rsid w:val="001A5B9C"/>
    <w:rsid w:val="001B2BBE"/>
    <w:rsid w:val="001B6FCF"/>
    <w:rsid w:val="001D40F1"/>
    <w:rsid w:val="001E1860"/>
    <w:rsid w:val="001E6D10"/>
    <w:rsid w:val="001F30E8"/>
    <w:rsid w:val="001F3B97"/>
    <w:rsid w:val="001F550E"/>
    <w:rsid w:val="0021014A"/>
    <w:rsid w:val="00214D89"/>
    <w:rsid w:val="00220ED5"/>
    <w:rsid w:val="0022357A"/>
    <w:rsid w:val="0023520F"/>
    <w:rsid w:val="0024111F"/>
    <w:rsid w:val="002414DF"/>
    <w:rsid w:val="00246101"/>
    <w:rsid w:val="00246416"/>
    <w:rsid w:val="002510D6"/>
    <w:rsid w:val="002556B7"/>
    <w:rsid w:val="002566D6"/>
    <w:rsid w:val="002609A2"/>
    <w:rsid w:val="00261CB9"/>
    <w:rsid w:val="0026232C"/>
    <w:rsid w:val="0026490C"/>
    <w:rsid w:val="00266947"/>
    <w:rsid w:val="00266989"/>
    <w:rsid w:val="00272B22"/>
    <w:rsid w:val="002840A6"/>
    <w:rsid w:val="00286AB0"/>
    <w:rsid w:val="002874BE"/>
    <w:rsid w:val="00290E1D"/>
    <w:rsid w:val="002968B0"/>
    <w:rsid w:val="002A75C3"/>
    <w:rsid w:val="002B1E04"/>
    <w:rsid w:val="002C0B5D"/>
    <w:rsid w:val="002C726A"/>
    <w:rsid w:val="002D0C18"/>
    <w:rsid w:val="002D4B56"/>
    <w:rsid w:val="002E1186"/>
    <w:rsid w:val="002E1E57"/>
    <w:rsid w:val="002E2B51"/>
    <w:rsid w:val="002E794C"/>
    <w:rsid w:val="002F0E56"/>
    <w:rsid w:val="002F188A"/>
    <w:rsid w:val="002F38F8"/>
    <w:rsid w:val="003009DC"/>
    <w:rsid w:val="00300A11"/>
    <w:rsid w:val="00322AD7"/>
    <w:rsid w:val="00330076"/>
    <w:rsid w:val="003312DA"/>
    <w:rsid w:val="00335ED1"/>
    <w:rsid w:val="0034271F"/>
    <w:rsid w:val="00344906"/>
    <w:rsid w:val="00356CDF"/>
    <w:rsid w:val="0035704D"/>
    <w:rsid w:val="00361424"/>
    <w:rsid w:val="003622CA"/>
    <w:rsid w:val="003736FE"/>
    <w:rsid w:val="0037679B"/>
    <w:rsid w:val="00380D64"/>
    <w:rsid w:val="00383833"/>
    <w:rsid w:val="00384DF7"/>
    <w:rsid w:val="0039068A"/>
    <w:rsid w:val="00391D39"/>
    <w:rsid w:val="0039316C"/>
    <w:rsid w:val="00395E11"/>
    <w:rsid w:val="00397B63"/>
    <w:rsid w:val="003B01AF"/>
    <w:rsid w:val="003E272F"/>
    <w:rsid w:val="003E335F"/>
    <w:rsid w:val="003F4F39"/>
    <w:rsid w:val="0040041A"/>
    <w:rsid w:val="00405951"/>
    <w:rsid w:val="00406B37"/>
    <w:rsid w:val="00407322"/>
    <w:rsid w:val="00411956"/>
    <w:rsid w:val="004130F7"/>
    <w:rsid w:val="004323A1"/>
    <w:rsid w:val="00436C8D"/>
    <w:rsid w:val="004468D5"/>
    <w:rsid w:val="00457358"/>
    <w:rsid w:val="0046262D"/>
    <w:rsid w:val="00475D52"/>
    <w:rsid w:val="00476D54"/>
    <w:rsid w:val="004837F6"/>
    <w:rsid w:val="00485EC5"/>
    <w:rsid w:val="0049182A"/>
    <w:rsid w:val="00493008"/>
    <w:rsid w:val="00494E5C"/>
    <w:rsid w:val="00495290"/>
    <w:rsid w:val="004956B7"/>
    <w:rsid w:val="004A625D"/>
    <w:rsid w:val="004A68E9"/>
    <w:rsid w:val="004A6D4E"/>
    <w:rsid w:val="004B4781"/>
    <w:rsid w:val="004C46C8"/>
    <w:rsid w:val="004D49C2"/>
    <w:rsid w:val="004D67CA"/>
    <w:rsid w:val="004E21D1"/>
    <w:rsid w:val="0050195C"/>
    <w:rsid w:val="005020C7"/>
    <w:rsid w:val="00507EE0"/>
    <w:rsid w:val="00511941"/>
    <w:rsid w:val="00522E2B"/>
    <w:rsid w:val="005305A9"/>
    <w:rsid w:val="00540542"/>
    <w:rsid w:val="00545B8F"/>
    <w:rsid w:val="00551210"/>
    <w:rsid w:val="0055673E"/>
    <w:rsid w:val="00564A1E"/>
    <w:rsid w:val="00570613"/>
    <w:rsid w:val="00572029"/>
    <w:rsid w:val="00572A0A"/>
    <w:rsid w:val="00591100"/>
    <w:rsid w:val="00594D1E"/>
    <w:rsid w:val="0059698D"/>
    <w:rsid w:val="00597130"/>
    <w:rsid w:val="005A147E"/>
    <w:rsid w:val="005A4C22"/>
    <w:rsid w:val="005B05B7"/>
    <w:rsid w:val="005B1287"/>
    <w:rsid w:val="005C3B17"/>
    <w:rsid w:val="005C4277"/>
    <w:rsid w:val="005C55D0"/>
    <w:rsid w:val="005C75AB"/>
    <w:rsid w:val="005E1E7B"/>
    <w:rsid w:val="005E258F"/>
    <w:rsid w:val="005E7878"/>
    <w:rsid w:val="005F0FEA"/>
    <w:rsid w:val="005F3B39"/>
    <w:rsid w:val="005F758E"/>
    <w:rsid w:val="0060174B"/>
    <w:rsid w:val="00653465"/>
    <w:rsid w:val="006552CC"/>
    <w:rsid w:val="00657542"/>
    <w:rsid w:val="00666C63"/>
    <w:rsid w:val="006706ED"/>
    <w:rsid w:val="006771F3"/>
    <w:rsid w:val="00680314"/>
    <w:rsid w:val="00682E20"/>
    <w:rsid w:val="006860A7"/>
    <w:rsid w:val="006911CA"/>
    <w:rsid w:val="006913AF"/>
    <w:rsid w:val="006A64A2"/>
    <w:rsid w:val="006A7F17"/>
    <w:rsid w:val="006B1169"/>
    <w:rsid w:val="006B4143"/>
    <w:rsid w:val="006B7259"/>
    <w:rsid w:val="006B7F91"/>
    <w:rsid w:val="006C03A0"/>
    <w:rsid w:val="006C0B0D"/>
    <w:rsid w:val="006C55FF"/>
    <w:rsid w:val="006D7D0C"/>
    <w:rsid w:val="006E4577"/>
    <w:rsid w:val="006E712C"/>
    <w:rsid w:val="006F0B70"/>
    <w:rsid w:val="006F5902"/>
    <w:rsid w:val="00701B7B"/>
    <w:rsid w:val="007047A7"/>
    <w:rsid w:val="007060CD"/>
    <w:rsid w:val="00710C77"/>
    <w:rsid w:val="00721439"/>
    <w:rsid w:val="007228F4"/>
    <w:rsid w:val="007473E6"/>
    <w:rsid w:val="0075052A"/>
    <w:rsid w:val="0075477F"/>
    <w:rsid w:val="00766AF9"/>
    <w:rsid w:val="00773444"/>
    <w:rsid w:val="007812AC"/>
    <w:rsid w:val="007A26D0"/>
    <w:rsid w:val="007B4A72"/>
    <w:rsid w:val="007B505A"/>
    <w:rsid w:val="007C0473"/>
    <w:rsid w:val="007C0D99"/>
    <w:rsid w:val="007D4C7A"/>
    <w:rsid w:val="007E1FCD"/>
    <w:rsid w:val="007F17D1"/>
    <w:rsid w:val="00805257"/>
    <w:rsid w:val="0080542B"/>
    <w:rsid w:val="0080611D"/>
    <w:rsid w:val="00806F6C"/>
    <w:rsid w:val="0081041B"/>
    <w:rsid w:val="0081357D"/>
    <w:rsid w:val="008205FB"/>
    <w:rsid w:val="00821983"/>
    <w:rsid w:val="00835950"/>
    <w:rsid w:val="00836EBD"/>
    <w:rsid w:val="008373A4"/>
    <w:rsid w:val="00856F1F"/>
    <w:rsid w:val="00863552"/>
    <w:rsid w:val="00870C0B"/>
    <w:rsid w:val="0087415D"/>
    <w:rsid w:val="00874E96"/>
    <w:rsid w:val="00883DAD"/>
    <w:rsid w:val="008A0FA0"/>
    <w:rsid w:val="008A6842"/>
    <w:rsid w:val="008B0255"/>
    <w:rsid w:val="008C0AC9"/>
    <w:rsid w:val="008D6C53"/>
    <w:rsid w:val="008F5711"/>
    <w:rsid w:val="00902499"/>
    <w:rsid w:val="00912CD2"/>
    <w:rsid w:val="0091547C"/>
    <w:rsid w:val="00917D1E"/>
    <w:rsid w:val="009207DD"/>
    <w:rsid w:val="00945767"/>
    <w:rsid w:val="00952C2F"/>
    <w:rsid w:val="009661E4"/>
    <w:rsid w:val="009664D6"/>
    <w:rsid w:val="00970457"/>
    <w:rsid w:val="009706CC"/>
    <w:rsid w:val="0097081A"/>
    <w:rsid w:val="0097552B"/>
    <w:rsid w:val="0098299E"/>
    <w:rsid w:val="00983CAC"/>
    <w:rsid w:val="009A43ED"/>
    <w:rsid w:val="009A7348"/>
    <w:rsid w:val="009B1B14"/>
    <w:rsid w:val="009B1FA8"/>
    <w:rsid w:val="009B54FB"/>
    <w:rsid w:val="009B6243"/>
    <w:rsid w:val="009D0649"/>
    <w:rsid w:val="009D084C"/>
    <w:rsid w:val="009D2D4A"/>
    <w:rsid w:val="009D3EE4"/>
    <w:rsid w:val="009E31A8"/>
    <w:rsid w:val="009E3EE2"/>
    <w:rsid w:val="009F2220"/>
    <w:rsid w:val="009F2769"/>
    <w:rsid w:val="009F699D"/>
    <w:rsid w:val="00A0068A"/>
    <w:rsid w:val="00A13E81"/>
    <w:rsid w:val="00A1592E"/>
    <w:rsid w:val="00A173FB"/>
    <w:rsid w:val="00A2251D"/>
    <w:rsid w:val="00A30124"/>
    <w:rsid w:val="00A3041D"/>
    <w:rsid w:val="00A30D86"/>
    <w:rsid w:val="00A32E2C"/>
    <w:rsid w:val="00A370D6"/>
    <w:rsid w:val="00A41019"/>
    <w:rsid w:val="00A43A6A"/>
    <w:rsid w:val="00A503EB"/>
    <w:rsid w:val="00A56504"/>
    <w:rsid w:val="00A64358"/>
    <w:rsid w:val="00A74520"/>
    <w:rsid w:val="00A74C26"/>
    <w:rsid w:val="00A8055B"/>
    <w:rsid w:val="00A86CE8"/>
    <w:rsid w:val="00A9233E"/>
    <w:rsid w:val="00A928E7"/>
    <w:rsid w:val="00AA2AA3"/>
    <w:rsid w:val="00AA5C91"/>
    <w:rsid w:val="00AA6CF3"/>
    <w:rsid w:val="00AB3D98"/>
    <w:rsid w:val="00AB3E1D"/>
    <w:rsid w:val="00AB57AD"/>
    <w:rsid w:val="00AB673B"/>
    <w:rsid w:val="00AB6ED8"/>
    <w:rsid w:val="00AE51ED"/>
    <w:rsid w:val="00AE5278"/>
    <w:rsid w:val="00AF226E"/>
    <w:rsid w:val="00AF588D"/>
    <w:rsid w:val="00B11F74"/>
    <w:rsid w:val="00B14BE9"/>
    <w:rsid w:val="00B16614"/>
    <w:rsid w:val="00B221F0"/>
    <w:rsid w:val="00B25E5C"/>
    <w:rsid w:val="00B51783"/>
    <w:rsid w:val="00B67FD7"/>
    <w:rsid w:val="00B7444F"/>
    <w:rsid w:val="00B81F72"/>
    <w:rsid w:val="00B82C9D"/>
    <w:rsid w:val="00B946F5"/>
    <w:rsid w:val="00B974FF"/>
    <w:rsid w:val="00BA35CA"/>
    <w:rsid w:val="00BA7270"/>
    <w:rsid w:val="00BA7485"/>
    <w:rsid w:val="00BA7B65"/>
    <w:rsid w:val="00BC12BD"/>
    <w:rsid w:val="00BC5865"/>
    <w:rsid w:val="00BC7AB6"/>
    <w:rsid w:val="00BD00B3"/>
    <w:rsid w:val="00BD1799"/>
    <w:rsid w:val="00BD278F"/>
    <w:rsid w:val="00BE2EA5"/>
    <w:rsid w:val="00BF1C66"/>
    <w:rsid w:val="00BF39BB"/>
    <w:rsid w:val="00C0677E"/>
    <w:rsid w:val="00C12762"/>
    <w:rsid w:val="00C24928"/>
    <w:rsid w:val="00C25530"/>
    <w:rsid w:val="00C25FAB"/>
    <w:rsid w:val="00C271A6"/>
    <w:rsid w:val="00C27A8D"/>
    <w:rsid w:val="00C27E01"/>
    <w:rsid w:val="00C43DBF"/>
    <w:rsid w:val="00C577A6"/>
    <w:rsid w:val="00C60E66"/>
    <w:rsid w:val="00C773FC"/>
    <w:rsid w:val="00C83A5D"/>
    <w:rsid w:val="00C8405F"/>
    <w:rsid w:val="00C852E0"/>
    <w:rsid w:val="00C907B2"/>
    <w:rsid w:val="00C90AE0"/>
    <w:rsid w:val="00C91F1C"/>
    <w:rsid w:val="00C97E63"/>
    <w:rsid w:val="00CB364F"/>
    <w:rsid w:val="00CC28C9"/>
    <w:rsid w:val="00CC3BDB"/>
    <w:rsid w:val="00CC5AC8"/>
    <w:rsid w:val="00CC5B95"/>
    <w:rsid w:val="00CD3D13"/>
    <w:rsid w:val="00CE499A"/>
    <w:rsid w:val="00CF5FE5"/>
    <w:rsid w:val="00D00B9C"/>
    <w:rsid w:val="00D01BFE"/>
    <w:rsid w:val="00D1033C"/>
    <w:rsid w:val="00D11713"/>
    <w:rsid w:val="00D20AF0"/>
    <w:rsid w:val="00D27BA6"/>
    <w:rsid w:val="00D3393A"/>
    <w:rsid w:val="00D34E68"/>
    <w:rsid w:val="00D464A0"/>
    <w:rsid w:val="00D61F09"/>
    <w:rsid w:val="00D64F2C"/>
    <w:rsid w:val="00D729A6"/>
    <w:rsid w:val="00D744B9"/>
    <w:rsid w:val="00D829C8"/>
    <w:rsid w:val="00D839A7"/>
    <w:rsid w:val="00D85E64"/>
    <w:rsid w:val="00D86680"/>
    <w:rsid w:val="00D95736"/>
    <w:rsid w:val="00DB3099"/>
    <w:rsid w:val="00DD3DFE"/>
    <w:rsid w:val="00DF1289"/>
    <w:rsid w:val="00DF1A3A"/>
    <w:rsid w:val="00DF2FD9"/>
    <w:rsid w:val="00E026FC"/>
    <w:rsid w:val="00E1077B"/>
    <w:rsid w:val="00E15176"/>
    <w:rsid w:val="00E2319E"/>
    <w:rsid w:val="00E3479E"/>
    <w:rsid w:val="00E4025B"/>
    <w:rsid w:val="00E52BFD"/>
    <w:rsid w:val="00E61CDE"/>
    <w:rsid w:val="00E6409E"/>
    <w:rsid w:val="00E671EB"/>
    <w:rsid w:val="00E74A19"/>
    <w:rsid w:val="00E864BB"/>
    <w:rsid w:val="00E9006E"/>
    <w:rsid w:val="00E93437"/>
    <w:rsid w:val="00E97F10"/>
    <w:rsid w:val="00EA2D8C"/>
    <w:rsid w:val="00EB2B51"/>
    <w:rsid w:val="00EB700C"/>
    <w:rsid w:val="00EC02E4"/>
    <w:rsid w:val="00EC61EE"/>
    <w:rsid w:val="00EC6489"/>
    <w:rsid w:val="00ED528F"/>
    <w:rsid w:val="00ED6C21"/>
    <w:rsid w:val="00EF28F8"/>
    <w:rsid w:val="00EF2BF4"/>
    <w:rsid w:val="00EF3208"/>
    <w:rsid w:val="00EF5F4A"/>
    <w:rsid w:val="00F06512"/>
    <w:rsid w:val="00F11705"/>
    <w:rsid w:val="00F11C9E"/>
    <w:rsid w:val="00F155B5"/>
    <w:rsid w:val="00F2001A"/>
    <w:rsid w:val="00F30CD0"/>
    <w:rsid w:val="00F42FAE"/>
    <w:rsid w:val="00F43052"/>
    <w:rsid w:val="00F456F5"/>
    <w:rsid w:val="00F57B36"/>
    <w:rsid w:val="00F60F76"/>
    <w:rsid w:val="00F60FAB"/>
    <w:rsid w:val="00F643C0"/>
    <w:rsid w:val="00F75F19"/>
    <w:rsid w:val="00F94062"/>
    <w:rsid w:val="00F949EE"/>
    <w:rsid w:val="00F96D92"/>
    <w:rsid w:val="00FA2B30"/>
    <w:rsid w:val="00FA4AD7"/>
    <w:rsid w:val="00FC01EE"/>
    <w:rsid w:val="00FC4755"/>
    <w:rsid w:val="00FC4806"/>
    <w:rsid w:val="00FD3A7C"/>
    <w:rsid w:val="00FD6C06"/>
    <w:rsid w:val="00FF1334"/>
    <w:rsid w:val="00FF1A83"/>
    <w:rsid w:val="00FF6D6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604AB"/>
  <w15:docId w15:val="{5DA77AA8-2E9D-4F98-9925-D09C23C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24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paragraph" w:styleId="BalloonText">
    <w:name w:val="Balloon Text"/>
    <w:basedOn w:val="Normal"/>
    <w:link w:val="BalloonTextChar"/>
    <w:rsid w:val="004323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3A1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DefaultParagraphFont"/>
    <w:link w:val="20"/>
    <w:rsid w:val="00EF2BF4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F2BF4"/>
    <w:pPr>
      <w:widowControl w:val="0"/>
      <w:shd w:val="clear" w:color="auto" w:fill="FFFFFF"/>
      <w:spacing w:before="180" w:after="0" w:line="410" w:lineRule="exact"/>
      <w:ind w:firstLine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89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65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orevA\AppData\Local\Temp\Rar$DIa5508.39160\9D1stanovishte_pis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A88-FB0B-48DF-BDB2-C96278C0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9D1stanovishte_pismo</Template>
  <TotalTime>34</TotalTime>
  <Pages>11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21358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Administrator</dc:creator>
  <cp:keywords/>
  <dc:description/>
  <cp:lastModifiedBy>MARTINA OGNYANOVA TODOROVA</cp:lastModifiedBy>
  <cp:revision>7</cp:revision>
  <cp:lastPrinted>2020-07-09T12:24:00Z</cp:lastPrinted>
  <dcterms:created xsi:type="dcterms:W3CDTF">2022-11-18T09:48:00Z</dcterms:created>
  <dcterms:modified xsi:type="dcterms:W3CDTF">2022-11-18T14:19:00Z</dcterms:modified>
</cp:coreProperties>
</file>